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宋体" w:eastAsia="方正小标宋简体" w:cs="宋体"/>
          <w:sz w:val="36"/>
          <w:szCs w:val="36"/>
        </w:rPr>
      </w:pPr>
    </w:p>
    <w:p>
      <w:pPr>
        <w:jc w:val="center"/>
        <w:rPr>
          <w:rFonts w:hint="eastAsia" w:ascii="方正小标宋简体" w:hAnsi="宋体" w:eastAsia="方正小标宋简体" w:cs="宋体"/>
          <w:sz w:val="36"/>
          <w:szCs w:val="36"/>
        </w:rPr>
      </w:pPr>
      <w:r>
        <w:rPr>
          <w:rFonts w:hint="eastAsia" w:ascii="方正小标宋简体" w:hAnsi="宋体" w:eastAsia="方正小标宋简体" w:cs="宋体"/>
          <w:sz w:val="36"/>
          <w:szCs w:val="36"/>
        </w:rPr>
        <w:t>物理科学学院“综合素质评估”细则</w:t>
      </w:r>
    </w:p>
    <w:p>
      <w:pPr>
        <w:jc w:val="center"/>
        <w:rPr>
          <w:rFonts w:hint="eastAsia" w:ascii="方正小标宋简体" w:hAnsi="宋体" w:eastAsia="方正小标宋简体" w:cs="宋体"/>
          <w:sz w:val="36"/>
          <w:szCs w:val="36"/>
        </w:rPr>
      </w:pPr>
    </w:p>
    <w:p>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现将物理科学学院2021年 “综合素质评估”工作相关安排通知如下，请参照开展评估工作。</w:t>
      </w:r>
    </w:p>
    <w:p>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 2021年“综合素质评估”对象为南开大学2018级、2019级、2020级全日制本科生，“综合素质评估”为2019级、2020级本科生《公能实践》课中的必修内容；</w:t>
      </w:r>
    </w:p>
    <w:p>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2.成立物理科学学院学生“综合素质评估”工作领导小组，组长为张学良，成员为李凡一、韩远欣、吴宵宵、刘伟、辛琦；</w:t>
      </w:r>
    </w:p>
    <w:p>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3.各年级应需要认真学习学院发布的评估指标及项目说明；评估工作依托“立公增能辅学平台”（fuxue.nankai.edu.cn）全面展开，“立公增能辅学平台”有电脑pc端与手机客户端（手机端口如用外网需要vpn）；</w:t>
      </w:r>
    </w:p>
    <w:p>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4.2018级、2019级于7月31日前、2020级于10月31日前开展“综合素质评估”工作，各年级具体工作开展由对应辅导员负责，以班级为单位开展；</w:t>
      </w:r>
    </w:p>
    <w:p>
      <w:pPr>
        <w:keepNext w:val="0"/>
        <w:keepLines w:val="0"/>
        <w:pageBreakBefore w:val="0"/>
        <w:widowControl/>
        <w:numPr>
          <w:ilvl w:val="0"/>
          <w:numId w:val="1"/>
        </w:numPr>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班在班会开始前，根据学院要求，确定班会时间、地点、人数以及他评委员会成员，在辅导员处进行预约。在各班开始“综合素质评估”前，由物理科学学院学生“综合素质评估”工作领导小组组长对评估的背景、目的与意义等进行深入解读；</w:t>
      </w:r>
    </w:p>
    <w:p>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0"/>
          <w:sz w:val="28"/>
          <w:szCs w:val="28"/>
        </w:rPr>
      </w:pPr>
      <w:bookmarkStart w:id="0" w:name="_GoBack"/>
      <w:bookmarkEnd w:id="0"/>
      <w:r>
        <w:rPr>
          <w:rFonts w:hint="eastAsia" w:ascii="仿宋_GB2312" w:hAnsi="仿宋_GB2312" w:eastAsia="仿宋_GB2312" w:cs="仿宋_GB2312"/>
          <w:kern w:val="0"/>
          <w:sz w:val="28"/>
          <w:szCs w:val="28"/>
        </w:rPr>
        <w:t>6.转专业的同学：今年转专业的在转出专业（原专业）参评，去年转专业的同学在转入专业（新专业）参评;</w:t>
      </w:r>
    </w:p>
    <w:p>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学生须在“综合素质评估”班会开始前完成自评问卷与个人素质发展书面总结；“综合素质评估”班会结束后，学生可立即查看学生他评互评结果，学生测评反馈将由辅导员在测评结束后通过线上线下结合的方式进行；辅导员在完成评估反馈后，学生须尽快完成个人成长计划；</w:t>
      </w:r>
    </w:p>
    <w:p>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参加2020-2021学年度奖学金、荣誉称号评定者须参加“综合素质评估”并合格；2018级、2019级通过“综合素质评估”评选出2020-2021学年度“学生服务奖学金”候选人及物理科学学院“优秀学生”、“优秀学生骨干”候选人。</w:t>
      </w:r>
      <w:r>
        <w:rPr>
          <w:rFonts w:ascii="仿宋_GB2312" w:hAnsi="仿宋_GB2312" w:eastAsia="仿宋_GB2312" w:cs="仿宋_GB2312"/>
          <w:kern w:val="0"/>
          <w:sz w:val="28"/>
          <w:szCs w:val="28"/>
        </w:rPr>
        <w:br w:type="page"/>
      </w:r>
    </w:p>
    <w:p>
      <w:pPr>
        <w:spacing w:line="360" w:lineRule="auto"/>
        <w:jc w:val="center"/>
        <w:rPr>
          <w:rFonts w:ascii="仿宋_GB2312" w:hAnsi="仿宋_GB2312" w:eastAsia="仿宋_GB2312" w:cs="仿宋_GB2312"/>
          <w:kern w:val="0"/>
          <w:sz w:val="28"/>
          <w:szCs w:val="28"/>
        </w:rPr>
      </w:pPr>
    </w:p>
    <w:p>
      <w:pPr>
        <w:spacing w:line="360" w:lineRule="auto"/>
        <w:jc w:val="center"/>
        <w:rPr>
          <w:rFonts w:ascii="方正小标宋简体" w:hAnsi="仿宋_GB2312" w:eastAsia="方正小标宋简体" w:cs="仿宋_GB2312"/>
          <w:kern w:val="0"/>
          <w:sz w:val="30"/>
          <w:szCs w:val="30"/>
        </w:rPr>
      </w:pPr>
      <w:r>
        <w:rPr>
          <w:rFonts w:hint="eastAsia" w:ascii="方正小标宋简体" w:hAnsi="仿宋_GB2312" w:eastAsia="方正小标宋简体" w:cs="仿宋_GB2312"/>
          <w:kern w:val="0"/>
          <w:sz w:val="30"/>
          <w:szCs w:val="30"/>
        </w:rPr>
        <w:t>物理科学学院本科生“公能”素质评估指标及项目说明</w:t>
      </w:r>
    </w:p>
    <w:p>
      <w:pPr>
        <w:spacing w:line="360" w:lineRule="auto"/>
        <w:jc w:val="center"/>
        <w:rPr>
          <w:rFonts w:ascii="仿宋_GB2312" w:hAnsi="仿宋_GB2312" w:eastAsia="仿宋_GB2312" w:cs="仿宋_GB2312"/>
          <w:kern w:val="0"/>
          <w:sz w:val="28"/>
          <w:szCs w:val="28"/>
        </w:rPr>
      </w:pPr>
    </w:p>
    <w:tbl>
      <w:tblPr>
        <w:tblStyle w:val="4"/>
        <w:tblW w:w="14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0"/>
        <w:gridCol w:w="2581"/>
        <w:gridCol w:w="3091"/>
        <w:gridCol w:w="8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1080" w:type="dxa"/>
            <w:shd w:val="clear" w:color="auto" w:fill="auto"/>
            <w:vAlign w:val="center"/>
          </w:tcPr>
          <w:p>
            <w:pPr>
              <w:widowControl/>
              <w:jc w:val="center"/>
              <w:textAlignment w:val="center"/>
              <w:rPr>
                <w:rFonts w:ascii="宋体" w:hAnsi="宋体" w:eastAsia="宋体" w:cs="宋体"/>
                <w:b/>
                <w:sz w:val="22"/>
                <w:szCs w:val="22"/>
              </w:rPr>
            </w:pPr>
            <w:r>
              <w:rPr>
                <w:rFonts w:hint="eastAsia" w:ascii="宋体" w:hAnsi="宋体" w:eastAsia="宋体" w:cs="宋体"/>
                <w:b/>
                <w:kern w:val="0"/>
                <w:sz w:val="22"/>
                <w:szCs w:val="22"/>
                <w:lang w:bidi="ar"/>
              </w:rPr>
              <w:t>一级指标</w:t>
            </w:r>
          </w:p>
        </w:tc>
        <w:tc>
          <w:tcPr>
            <w:tcW w:w="2581" w:type="dxa"/>
            <w:shd w:val="clear" w:color="auto" w:fill="auto"/>
            <w:vAlign w:val="center"/>
          </w:tcPr>
          <w:p>
            <w:pPr>
              <w:widowControl/>
              <w:jc w:val="center"/>
              <w:textAlignment w:val="center"/>
              <w:rPr>
                <w:rFonts w:ascii="宋体" w:hAnsi="宋体" w:eastAsia="宋体" w:cs="宋体"/>
                <w:b/>
                <w:sz w:val="22"/>
                <w:szCs w:val="22"/>
              </w:rPr>
            </w:pPr>
            <w:r>
              <w:rPr>
                <w:rFonts w:hint="eastAsia" w:ascii="宋体" w:hAnsi="宋体" w:eastAsia="宋体" w:cs="宋体"/>
                <w:b/>
                <w:kern w:val="0"/>
                <w:sz w:val="22"/>
                <w:szCs w:val="22"/>
                <w:lang w:bidi="ar"/>
              </w:rPr>
              <w:t>二级指标</w:t>
            </w:r>
          </w:p>
        </w:tc>
        <w:tc>
          <w:tcPr>
            <w:tcW w:w="3091" w:type="dxa"/>
            <w:shd w:val="clear" w:color="auto" w:fill="auto"/>
            <w:vAlign w:val="center"/>
          </w:tcPr>
          <w:p>
            <w:pPr>
              <w:widowControl/>
              <w:jc w:val="center"/>
              <w:textAlignment w:val="center"/>
              <w:rPr>
                <w:rFonts w:ascii="宋体" w:hAnsi="宋体" w:eastAsia="宋体" w:cs="宋体"/>
                <w:b/>
                <w:sz w:val="22"/>
                <w:szCs w:val="22"/>
              </w:rPr>
            </w:pPr>
            <w:r>
              <w:rPr>
                <w:rFonts w:hint="eastAsia" w:ascii="宋体" w:hAnsi="宋体" w:eastAsia="宋体" w:cs="宋体"/>
                <w:b/>
                <w:kern w:val="0"/>
                <w:sz w:val="22"/>
                <w:szCs w:val="22"/>
                <w:lang w:bidi="ar"/>
              </w:rPr>
              <w:t>三级指标</w:t>
            </w:r>
          </w:p>
        </w:tc>
        <w:tc>
          <w:tcPr>
            <w:tcW w:w="8068" w:type="dxa"/>
            <w:shd w:val="clear" w:color="auto" w:fill="auto"/>
            <w:vAlign w:val="center"/>
          </w:tcPr>
          <w:p>
            <w:pPr>
              <w:widowControl/>
              <w:jc w:val="center"/>
              <w:textAlignment w:val="center"/>
              <w:rPr>
                <w:rFonts w:ascii="宋体" w:hAnsi="宋体" w:eastAsia="宋体" w:cs="宋体"/>
                <w:b/>
                <w:sz w:val="22"/>
                <w:szCs w:val="22"/>
              </w:rPr>
            </w:pPr>
            <w:r>
              <w:rPr>
                <w:rFonts w:hint="eastAsia" w:ascii="宋体" w:hAnsi="宋体" w:eastAsia="宋体" w:cs="宋体"/>
                <w:b/>
                <w:kern w:val="0"/>
                <w:sz w:val="22"/>
                <w:szCs w:val="22"/>
                <w:lang w:bidi="ar"/>
              </w:rPr>
              <w:t>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91" w:hRule="atLeast"/>
          <w:jc w:val="center"/>
        </w:trPr>
        <w:tc>
          <w:tcPr>
            <w:tcW w:w="1080" w:type="dxa"/>
            <w:vMerge w:val="restart"/>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“公”</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之</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评</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估</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项</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目</w:t>
            </w:r>
          </w:p>
        </w:tc>
        <w:tc>
          <w:tcPr>
            <w:tcW w:w="2581" w:type="dxa"/>
            <w:shd w:val="clear" w:color="auto" w:fill="auto"/>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公之志向</w:t>
            </w:r>
          </w:p>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（理想信念与民族精神）</w:t>
            </w:r>
          </w:p>
        </w:tc>
        <w:tc>
          <w:tcPr>
            <w:tcW w:w="3091" w:type="dxa"/>
            <w:shd w:val="clear" w:color="auto" w:fill="auto"/>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理想信念/民族精神/可持续发展/全球视野</w:t>
            </w:r>
          </w:p>
        </w:tc>
        <w:tc>
          <w:tcPr>
            <w:tcW w:w="8068" w:type="dxa"/>
            <w:shd w:val="clear" w:color="auto" w:fill="auto"/>
          </w:tcPr>
          <w:p>
            <w:pPr>
              <w:widowControl/>
              <w:jc w:val="left"/>
              <w:textAlignment w:val="top"/>
              <w:rPr>
                <w:rFonts w:ascii="宋体" w:hAnsi="宋体" w:eastAsia="宋体" w:cs="宋体"/>
                <w:sz w:val="22"/>
                <w:szCs w:val="22"/>
              </w:rPr>
            </w:pPr>
            <w:r>
              <w:rPr>
                <w:rFonts w:hint="eastAsia" w:ascii="宋体" w:hAnsi="宋体" w:eastAsia="宋体" w:cs="宋体"/>
                <w:kern w:val="0"/>
                <w:sz w:val="22"/>
                <w:szCs w:val="22"/>
                <w:lang w:bidi="ar"/>
              </w:rPr>
              <w:t>爱祖国、爱人民，拥护党的路线、方针、政策/抵制任何有损国家尊严、荣誉、利益和危害社会秩序的言行/有坚定的政治信念，主动关心时事政治，积极参加政治理论学习/有强烈的民族意识和国家观念，有为公志向，将个人发展目标与国家、社会发展要求紧密联系/知世情服务社会，知中国服务中国，主动参加社会实践和社会公益服务活动/有大局观和集体荣誉感，主动参加集体建设和集体活动，不做损害集体利益和荣誉的事/热爱生活，有进取心，始终保持积极向上的心态/有强烈的社会责任感，做事不惧艰难、坚持到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21" w:hRule="atLeast"/>
          <w:jc w:val="center"/>
        </w:trPr>
        <w:tc>
          <w:tcPr>
            <w:tcW w:w="1080" w:type="dxa"/>
            <w:vMerge w:val="continue"/>
            <w:shd w:val="clear" w:color="auto" w:fill="auto"/>
            <w:vAlign w:val="center"/>
          </w:tcPr>
          <w:p>
            <w:pPr>
              <w:jc w:val="center"/>
              <w:rPr>
                <w:rFonts w:ascii="宋体" w:hAnsi="宋体" w:eastAsia="宋体" w:cs="宋体"/>
                <w:sz w:val="22"/>
                <w:szCs w:val="22"/>
              </w:rPr>
            </w:pPr>
          </w:p>
        </w:tc>
        <w:tc>
          <w:tcPr>
            <w:tcW w:w="2581" w:type="dxa"/>
            <w:shd w:val="clear" w:color="auto" w:fill="auto"/>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公之操守</w:t>
            </w:r>
          </w:p>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（道德品质与公民素养）</w:t>
            </w:r>
          </w:p>
        </w:tc>
        <w:tc>
          <w:tcPr>
            <w:tcW w:w="3091" w:type="dxa"/>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诚信/自律/正直/尊重/严谨</w:t>
            </w:r>
          </w:p>
        </w:tc>
        <w:tc>
          <w:tcPr>
            <w:tcW w:w="8068" w:type="dxa"/>
            <w:shd w:val="clear" w:color="auto" w:fill="auto"/>
          </w:tcPr>
          <w:p>
            <w:pPr>
              <w:widowControl/>
              <w:jc w:val="left"/>
              <w:textAlignment w:val="top"/>
              <w:rPr>
                <w:rFonts w:ascii="宋体" w:hAnsi="宋体" w:eastAsia="宋体" w:cs="宋体"/>
                <w:sz w:val="22"/>
                <w:szCs w:val="22"/>
              </w:rPr>
            </w:pPr>
            <w:r>
              <w:rPr>
                <w:rFonts w:hint="eastAsia" w:ascii="宋体" w:hAnsi="宋体" w:eastAsia="宋体" w:cs="宋体"/>
                <w:kern w:val="0"/>
                <w:sz w:val="22"/>
                <w:szCs w:val="22"/>
                <w:lang w:bidi="ar"/>
              </w:rPr>
              <w:t>服从公意，自觉维护公共利益和公共秩序/遵守国家法律、法规及学校各项规章制度，正确运用法律武器维护自己的合法权益，遵守团体规则，爱护公物/为人正直，办事公道，坚持原则，不随波逐流或偏信盲从/见义勇为，敢于纠正不良现象与风气/诚实守信，表里如一/尊师重道，尊老爱幼，孝敬父母，礼貌待人/生活节约俭朴，不奢侈浪费，不攀比/作风严谨踏实，做事认真不敷衍/尊重、体谅他人，不影响他人正常学习和休息/热爱劳动，不懒散，自觉保护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51" w:hRule="atLeast"/>
          <w:jc w:val="center"/>
        </w:trPr>
        <w:tc>
          <w:tcPr>
            <w:tcW w:w="1080" w:type="dxa"/>
            <w:vMerge w:val="continue"/>
            <w:shd w:val="clear" w:color="auto" w:fill="auto"/>
            <w:vAlign w:val="center"/>
          </w:tcPr>
          <w:p>
            <w:pPr>
              <w:jc w:val="center"/>
              <w:rPr>
                <w:rFonts w:ascii="宋体" w:hAnsi="宋体" w:eastAsia="宋体" w:cs="宋体"/>
                <w:sz w:val="22"/>
                <w:szCs w:val="22"/>
              </w:rPr>
            </w:pPr>
          </w:p>
        </w:tc>
        <w:tc>
          <w:tcPr>
            <w:tcW w:w="2581" w:type="dxa"/>
            <w:shd w:val="clear" w:color="auto" w:fill="auto"/>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公之襟怀</w:t>
            </w:r>
          </w:p>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（文化自觉与南开气质）</w:t>
            </w:r>
          </w:p>
        </w:tc>
        <w:tc>
          <w:tcPr>
            <w:tcW w:w="3091" w:type="dxa"/>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感恩/包容/真诚/谦和/付出</w:t>
            </w:r>
          </w:p>
        </w:tc>
        <w:tc>
          <w:tcPr>
            <w:tcW w:w="8068" w:type="dxa"/>
            <w:shd w:val="clear" w:color="auto" w:fill="auto"/>
          </w:tcPr>
          <w:p>
            <w:pPr>
              <w:widowControl/>
              <w:jc w:val="left"/>
              <w:textAlignment w:val="top"/>
              <w:rPr>
                <w:rFonts w:ascii="宋体" w:hAnsi="宋体" w:eastAsia="宋体" w:cs="宋体"/>
                <w:sz w:val="22"/>
                <w:szCs w:val="22"/>
              </w:rPr>
            </w:pPr>
            <w:r>
              <w:rPr>
                <w:rFonts w:hint="eastAsia" w:ascii="宋体" w:hAnsi="宋体" w:eastAsia="宋体" w:cs="宋体"/>
                <w:kern w:val="0"/>
                <w:sz w:val="22"/>
                <w:szCs w:val="22"/>
                <w:lang w:bidi="ar"/>
              </w:rPr>
              <w:t>甘于奉献，凡事以“公”为前提，以国家和集体利益为重/心胸宽广，不斤斤计较个人得失/谦虚谨慎，不骄不躁/淡泊名利，在利益面前不争抢/诚恳待人，乐于助人，有团结协作精神，做事不自私/乐观平和，不嫉妒、诽谤他人/勇于担当，在困难问题面前不推诿逃避/遵从“容止格言”要求，举止言谈大方得体，于日常点滴之中培养南开气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51" w:hRule="atLeast"/>
          <w:jc w:val="center"/>
        </w:trPr>
        <w:tc>
          <w:tcPr>
            <w:tcW w:w="1080" w:type="dxa"/>
            <w:vMerge w:val="restart"/>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“能”</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之</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评</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估</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项</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目</w:t>
            </w:r>
          </w:p>
        </w:tc>
        <w:tc>
          <w:tcPr>
            <w:tcW w:w="2581" w:type="dxa"/>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生活能力</w:t>
            </w:r>
          </w:p>
        </w:tc>
        <w:tc>
          <w:tcPr>
            <w:tcW w:w="3091" w:type="dxa"/>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独立自主/环境适应/自我控制/安全意识/人际交往/节俭/卫生健康</w:t>
            </w:r>
          </w:p>
        </w:tc>
        <w:tc>
          <w:tcPr>
            <w:tcW w:w="8068" w:type="dxa"/>
            <w:shd w:val="clear" w:color="auto" w:fill="auto"/>
          </w:tcPr>
          <w:p>
            <w:pPr>
              <w:widowControl/>
              <w:jc w:val="left"/>
              <w:textAlignment w:val="top"/>
              <w:rPr>
                <w:rFonts w:ascii="宋体" w:hAnsi="宋体" w:eastAsia="宋体" w:cs="宋体"/>
                <w:sz w:val="22"/>
                <w:szCs w:val="22"/>
              </w:rPr>
            </w:pPr>
            <w:r>
              <w:rPr>
                <w:rFonts w:hint="eastAsia" w:ascii="宋体" w:hAnsi="宋体" w:eastAsia="宋体" w:cs="宋体"/>
                <w:kern w:val="0"/>
                <w:sz w:val="22"/>
                <w:szCs w:val="22"/>
                <w:lang w:bidi="ar"/>
              </w:rPr>
              <w:t>经常参加体育锻炼，有良好的体育运动习惯/积极参加各类体育比赛并取得好成绩/遵守体育道德和体育运动精神，耐得输赢/有分辨是非和抵制诱惑的能力/生活自立，有节制，能妥善处理生活中遇到的问题/有健康的生活习惯，讲究卫生/吃苦耐劳，有抗压能力，能够有条不紊地安排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51" w:hRule="atLeast"/>
          <w:jc w:val="center"/>
        </w:trPr>
        <w:tc>
          <w:tcPr>
            <w:tcW w:w="1080" w:type="dxa"/>
            <w:vMerge w:val="continue"/>
            <w:shd w:val="clear" w:color="auto" w:fill="auto"/>
            <w:vAlign w:val="center"/>
          </w:tcPr>
          <w:p>
            <w:pPr>
              <w:jc w:val="center"/>
              <w:rPr>
                <w:rFonts w:ascii="宋体" w:hAnsi="宋体" w:eastAsia="宋体" w:cs="宋体"/>
                <w:sz w:val="22"/>
                <w:szCs w:val="22"/>
              </w:rPr>
            </w:pPr>
          </w:p>
        </w:tc>
        <w:tc>
          <w:tcPr>
            <w:tcW w:w="2581" w:type="dxa"/>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学习能力</w:t>
            </w:r>
          </w:p>
        </w:tc>
        <w:tc>
          <w:tcPr>
            <w:tcW w:w="3091" w:type="dxa"/>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兴趣培养/行为管理/资源获取/计划执行/目标设立/总结提高/独立思考</w:t>
            </w:r>
          </w:p>
        </w:tc>
        <w:tc>
          <w:tcPr>
            <w:tcW w:w="8068" w:type="dxa"/>
            <w:shd w:val="clear" w:color="auto" w:fill="auto"/>
          </w:tcPr>
          <w:p>
            <w:pPr>
              <w:widowControl/>
              <w:jc w:val="left"/>
              <w:textAlignment w:val="top"/>
              <w:rPr>
                <w:rFonts w:ascii="宋体" w:hAnsi="宋体" w:eastAsia="宋体" w:cs="宋体"/>
                <w:sz w:val="22"/>
                <w:szCs w:val="22"/>
              </w:rPr>
            </w:pPr>
            <w:r>
              <w:rPr>
                <w:rFonts w:hint="eastAsia" w:ascii="宋体" w:hAnsi="宋体" w:eastAsia="宋体" w:cs="宋体"/>
                <w:kern w:val="0"/>
                <w:sz w:val="22"/>
                <w:szCs w:val="22"/>
                <w:lang w:bidi="ar"/>
              </w:rPr>
              <w:t>学习有目标、有计划，有自主学习的能力和习惯/有积极端正的学习态度，笃实好学，善于思考，善于观察，有独立见解，认真完成各类作业/有浓厚的学习兴趣，主动获取学习资源、参与学习讨论、参加学术研究/有科学严谨的学习方法和良好的学习习惯/对知识孜孜以求、锲而不舍、潜心研修/取得优良学习成绩，学习成果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0" w:hRule="atLeast"/>
          <w:jc w:val="center"/>
        </w:trPr>
        <w:tc>
          <w:tcPr>
            <w:tcW w:w="1080" w:type="dxa"/>
            <w:vMerge w:val="continue"/>
            <w:shd w:val="clear" w:color="auto" w:fill="auto"/>
            <w:vAlign w:val="center"/>
          </w:tcPr>
          <w:p>
            <w:pPr>
              <w:jc w:val="center"/>
              <w:rPr>
                <w:rFonts w:ascii="宋体" w:hAnsi="宋体" w:eastAsia="宋体" w:cs="宋体"/>
                <w:sz w:val="22"/>
                <w:szCs w:val="22"/>
              </w:rPr>
            </w:pPr>
          </w:p>
        </w:tc>
        <w:tc>
          <w:tcPr>
            <w:tcW w:w="2581" w:type="dxa"/>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创新能力</w:t>
            </w:r>
          </w:p>
        </w:tc>
        <w:tc>
          <w:tcPr>
            <w:tcW w:w="3091" w:type="dxa"/>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发现问题/批判思维/改革求变/创新想象/积极探索/大胆尝试</w:t>
            </w:r>
          </w:p>
        </w:tc>
        <w:tc>
          <w:tcPr>
            <w:tcW w:w="8068" w:type="dxa"/>
            <w:shd w:val="clear" w:color="auto" w:fill="auto"/>
          </w:tcPr>
          <w:p>
            <w:pPr>
              <w:widowControl/>
              <w:jc w:val="left"/>
              <w:textAlignment w:val="top"/>
              <w:rPr>
                <w:rFonts w:ascii="宋体" w:hAnsi="宋体" w:eastAsia="宋体" w:cs="宋体"/>
                <w:sz w:val="22"/>
                <w:szCs w:val="22"/>
              </w:rPr>
            </w:pPr>
            <w:r>
              <w:rPr>
                <w:rFonts w:hint="eastAsia" w:ascii="宋体" w:hAnsi="宋体" w:eastAsia="宋体" w:cs="宋体"/>
                <w:kern w:val="0"/>
                <w:sz w:val="22"/>
                <w:szCs w:val="22"/>
                <w:lang w:bidi="ar"/>
              </w:rPr>
              <w:t>有尊重差异、大胆质疑和改革求变的意识和能力/主动参加课内外学术科技竞赛等有助于提升创新能力的各项活动/在学术论文、科研创新和发明专利等方面有显著成绩/在专业竞赛、科技文化等活动中有突出表现/在日常的学习实践中展现出突出的创新精神与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0" w:hRule="atLeast"/>
          <w:jc w:val="center"/>
        </w:trPr>
        <w:tc>
          <w:tcPr>
            <w:tcW w:w="1080" w:type="dxa"/>
            <w:vMerge w:val="continue"/>
            <w:shd w:val="clear" w:color="auto" w:fill="auto"/>
            <w:vAlign w:val="center"/>
          </w:tcPr>
          <w:p>
            <w:pPr>
              <w:jc w:val="center"/>
              <w:rPr>
                <w:rFonts w:ascii="宋体" w:hAnsi="宋体" w:eastAsia="宋体" w:cs="宋体"/>
                <w:sz w:val="22"/>
                <w:szCs w:val="22"/>
              </w:rPr>
            </w:pPr>
          </w:p>
        </w:tc>
        <w:tc>
          <w:tcPr>
            <w:tcW w:w="2581" w:type="dxa"/>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协作能力</w:t>
            </w:r>
          </w:p>
        </w:tc>
        <w:tc>
          <w:tcPr>
            <w:tcW w:w="3091" w:type="dxa"/>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互助共赢/人际沟通/诚实守信/情绪管理/组织领导/冲突管理</w:t>
            </w:r>
          </w:p>
        </w:tc>
        <w:tc>
          <w:tcPr>
            <w:tcW w:w="8068" w:type="dxa"/>
            <w:shd w:val="clear" w:color="auto" w:fill="auto"/>
          </w:tcPr>
          <w:p>
            <w:pPr>
              <w:widowControl/>
              <w:jc w:val="left"/>
              <w:textAlignment w:val="top"/>
              <w:rPr>
                <w:rFonts w:ascii="宋体" w:hAnsi="宋体" w:eastAsia="宋体" w:cs="宋体"/>
                <w:sz w:val="22"/>
                <w:szCs w:val="22"/>
              </w:rPr>
            </w:pPr>
            <w:r>
              <w:rPr>
                <w:rFonts w:hint="eastAsia" w:ascii="宋体" w:hAnsi="宋体" w:eastAsia="宋体" w:cs="宋体"/>
                <w:kern w:val="0"/>
                <w:sz w:val="22"/>
                <w:szCs w:val="22"/>
                <w:lang w:bidi="ar"/>
              </w:rPr>
              <w:t>具有强烈的团队意识和集体观念/主动参加集体活动，善于与他人合作/在团队合作中表现出很强的组织能力/积极承担为同学服务的社会工作，工作能力突出/有很强的与人沟通的能力/有出色的文字语言表达能力/能够倾听他人意见，与他人平等交流和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0" w:hRule="atLeast"/>
          <w:jc w:val="center"/>
        </w:trPr>
        <w:tc>
          <w:tcPr>
            <w:tcW w:w="1080" w:type="dxa"/>
            <w:vMerge w:val="continue"/>
            <w:shd w:val="clear" w:color="auto" w:fill="auto"/>
            <w:vAlign w:val="center"/>
          </w:tcPr>
          <w:p>
            <w:pPr>
              <w:jc w:val="center"/>
              <w:rPr>
                <w:rFonts w:ascii="宋体" w:hAnsi="宋体" w:eastAsia="宋体" w:cs="宋体"/>
                <w:sz w:val="22"/>
                <w:szCs w:val="22"/>
              </w:rPr>
            </w:pPr>
          </w:p>
        </w:tc>
        <w:tc>
          <w:tcPr>
            <w:tcW w:w="2581" w:type="dxa"/>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文化素养</w:t>
            </w:r>
          </w:p>
        </w:tc>
        <w:tc>
          <w:tcPr>
            <w:tcW w:w="3091" w:type="dxa"/>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审美/人文素养/科学素养/中华优秀传统文化</w:t>
            </w:r>
          </w:p>
        </w:tc>
        <w:tc>
          <w:tcPr>
            <w:tcW w:w="8068" w:type="dxa"/>
            <w:shd w:val="clear" w:color="auto" w:fill="auto"/>
          </w:tcPr>
          <w:p>
            <w:pPr>
              <w:widowControl/>
              <w:jc w:val="left"/>
              <w:textAlignment w:val="top"/>
              <w:rPr>
                <w:rFonts w:ascii="宋体" w:hAnsi="宋体" w:eastAsia="宋体" w:cs="宋体"/>
                <w:sz w:val="22"/>
                <w:szCs w:val="22"/>
              </w:rPr>
            </w:pPr>
            <w:r>
              <w:rPr>
                <w:rFonts w:hint="eastAsia" w:ascii="宋体" w:hAnsi="宋体" w:eastAsia="宋体" w:cs="宋体"/>
                <w:kern w:val="0"/>
                <w:sz w:val="22"/>
                <w:szCs w:val="22"/>
                <w:lang w:bidi="ar"/>
              </w:rPr>
              <w:t>具有深厚的人文知识和科学知识/在音乐、美术、舞蹈等艺术领域有特长或表现出较高的艺术欣赏水平/具有高雅的审美情趣/主动参加各类美育活动/主动培养自己发现美、表现美、创造美的能力</w:t>
            </w:r>
          </w:p>
        </w:tc>
      </w:tr>
    </w:tbl>
    <w:p>
      <w:pPr>
        <w:rPr>
          <w:rFonts w:ascii="仿宋" w:hAnsi="仿宋" w:eastAsia="仿宋" w:cs="宋体"/>
          <w:kern w:val="0"/>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9F4E0"/>
    <w:multiLevelType w:val="singleLevel"/>
    <w:tmpl w:val="4BA9F4E0"/>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BA58B2"/>
    <w:rsid w:val="000C603E"/>
    <w:rsid w:val="002E0A30"/>
    <w:rsid w:val="00347FB7"/>
    <w:rsid w:val="00354577"/>
    <w:rsid w:val="003F1F21"/>
    <w:rsid w:val="00411B6A"/>
    <w:rsid w:val="0043178C"/>
    <w:rsid w:val="007147AE"/>
    <w:rsid w:val="00794D12"/>
    <w:rsid w:val="0085457D"/>
    <w:rsid w:val="00890CF1"/>
    <w:rsid w:val="00891754"/>
    <w:rsid w:val="008F180C"/>
    <w:rsid w:val="009802A6"/>
    <w:rsid w:val="00C41F69"/>
    <w:rsid w:val="00C564B0"/>
    <w:rsid w:val="00DB2EE2"/>
    <w:rsid w:val="00DB3F65"/>
    <w:rsid w:val="00E80D26"/>
    <w:rsid w:val="122A3F6A"/>
    <w:rsid w:val="124C75A9"/>
    <w:rsid w:val="34CA6B87"/>
    <w:rsid w:val="3BBA58B2"/>
    <w:rsid w:val="60114AB7"/>
    <w:rsid w:val="60EF4CD8"/>
    <w:rsid w:val="69BF1DAD"/>
    <w:rsid w:val="6D535020"/>
    <w:rsid w:val="72496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Lenovo</Company>
  <Pages>4</Pages>
  <Words>344</Words>
  <Characters>1962</Characters>
  <Lines>16</Lines>
  <Paragraphs>4</Paragraphs>
  <TotalTime>2</TotalTime>
  <ScaleCrop>false</ScaleCrop>
  <LinksUpToDate>false</LinksUpToDate>
  <CharactersWithSpaces>2302</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2018-10-30T00:44:00Z</dcterms:created>
  <dc:creator>Administrator</dc:creator>
  <cp:lastModifiedBy>109</cp:lastModifiedBy>
  <dcterms:modified xsi:type="dcterms:W3CDTF">2021-06-16T08:24:17Z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