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30" w:lineRule="atLeast"/>
        <w:ind w:left="0" w:right="0" w:firstLine="740"/>
        <w:rPr>
          <w:rFonts w:hint="eastAsia" w:ascii="黑体" w:hAnsi="黑体" w:eastAsia="黑体" w:cs="黑体"/>
          <w:b w:val="0"/>
          <w:bCs w:val="0"/>
          <w:i w:val="0"/>
          <w:iCs w:val="0"/>
          <w:caps w:val="0"/>
          <w:color w:val="auto"/>
          <w:spacing w:val="0"/>
          <w:sz w:val="36"/>
          <w:szCs w:val="36"/>
          <w:u w:val="none"/>
          <w:lang w:val="en-US" w:eastAsia="zh-Hans"/>
        </w:rPr>
      </w:pPr>
      <w:r>
        <w:rPr>
          <w:rFonts w:hint="eastAsia" w:ascii="黑体" w:hAnsi="黑体" w:eastAsia="黑体" w:cs="黑体"/>
          <w:b w:val="0"/>
          <w:bCs w:val="0"/>
          <w:i w:val="0"/>
          <w:iCs w:val="0"/>
          <w:caps w:val="0"/>
          <w:color w:val="auto"/>
          <w:spacing w:val="0"/>
          <w:sz w:val="36"/>
          <w:szCs w:val="36"/>
          <w:u w:val="none"/>
          <w:lang w:val="en-US" w:eastAsia="zh-Hans"/>
        </w:rPr>
        <w:t>物理科学学院</w:t>
      </w:r>
      <w:r>
        <w:rPr>
          <w:rFonts w:hint="eastAsia" w:ascii="黑体" w:hAnsi="黑体" w:eastAsia="黑体" w:cs="黑体"/>
          <w:b w:val="0"/>
          <w:bCs w:val="0"/>
          <w:i w:val="0"/>
          <w:iCs w:val="0"/>
          <w:caps w:val="0"/>
          <w:color w:val="auto"/>
          <w:spacing w:val="0"/>
          <w:sz w:val="36"/>
          <w:szCs w:val="36"/>
          <w:u w:val="none"/>
          <w:lang w:eastAsia="zh-Hans"/>
        </w:rPr>
        <w:t>202</w:t>
      </w:r>
      <w:bookmarkStart w:id="0" w:name="_GoBack"/>
      <w:bookmarkEnd w:id="0"/>
      <w:r>
        <w:rPr>
          <w:rFonts w:hint="eastAsia" w:ascii="黑体" w:hAnsi="黑体" w:eastAsia="黑体" w:cs="黑体"/>
          <w:b w:val="0"/>
          <w:bCs w:val="0"/>
          <w:i w:val="0"/>
          <w:iCs w:val="0"/>
          <w:caps w:val="0"/>
          <w:color w:val="auto"/>
          <w:spacing w:val="0"/>
          <w:sz w:val="36"/>
          <w:szCs w:val="36"/>
          <w:u w:val="none"/>
          <w:lang w:eastAsia="zh-Hans"/>
        </w:rPr>
        <w:t>3</w:t>
      </w:r>
      <w:r>
        <w:rPr>
          <w:rFonts w:hint="eastAsia" w:ascii="黑体" w:hAnsi="黑体" w:eastAsia="黑体" w:cs="黑体"/>
          <w:b w:val="0"/>
          <w:bCs w:val="0"/>
          <w:i w:val="0"/>
          <w:iCs w:val="0"/>
          <w:caps w:val="0"/>
          <w:color w:val="auto"/>
          <w:spacing w:val="0"/>
          <w:sz w:val="36"/>
          <w:szCs w:val="36"/>
          <w:u w:val="none"/>
          <w:lang w:val="en-US" w:eastAsia="zh-Hans"/>
        </w:rPr>
        <w:t>年</w:t>
      </w:r>
      <w:r>
        <w:rPr>
          <w:rFonts w:hint="eastAsia" w:ascii="黑体" w:hAnsi="黑体" w:eastAsia="黑体" w:cs="黑体"/>
          <w:b w:val="0"/>
          <w:bCs w:val="0"/>
          <w:i w:val="0"/>
          <w:iCs w:val="0"/>
          <w:caps w:val="0"/>
          <w:color w:val="auto"/>
          <w:spacing w:val="0"/>
          <w:sz w:val="36"/>
          <w:szCs w:val="36"/>
          <w:u w:val="none"/>
        </w:rPr>
        <w:t>“综合素质评估”</w:t>
      </w:r>
      <w:r>
        <w:rPr>
          <w:rFonts w:hint="eastAsia" w:ascii="黑体" w:hAnsi="黑体" w:eastAsia="黑体" w:cs="黑体"/>
          <w:b w:val="0"/>
          <w:bCs w:val="0"/>
          <w:i w:val="0"/>
          <w:iCs w:val="0"/>
          <w:caps w:val="0"/>
          <w:color w:val="auto"/>
          <w:spacing w:val="0"/>
          <w:sz w:val="36"/>
          <w:szCs w:val="36"/>
          <w:u w:val="none"/>
          <w:lang w:val="en-US" w:eastAsia="zh-Hans"/>
        </w:rPr>
        <w:t>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30" w:lineRule="atLeast"/>
        <w:ind w:left="0" w:right="0" w:firstLine="740"/>
        <w:rPr>
          <w:rFonts w:ascii="仿宋_GB2312" w:hAnsi="宋体" w:eastAsia="仿宋_GB2312" w:cs="仿宋_GB2312"/>
          <w:b w:val="0"/>
          <w:bCs w:val="0"/>
          <w:i w:val="0"/>
          <w:iCs w:val="0"/>
          <w:caps w:val="0"/>
          <w:color w:val="auto"/>
          <w:spacing w:val="0"/>
          <w:sz w:val="38"/>
          <w:szCs w:val="3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ascii="仿宋_GB2312" w:hAnsi="宋体" w:eastAsia="仿宋_GB2312" w:cs="仿宋_GB2312"/>
          <w:b w:val="0"/>
          <w:bCs w:val="0"/>
          <w:i w:val="0"/>
          <w:iCs w:val="0"/>
          <w:caps w:val="0"/>
          <w:color w:val="auto"/>
          <w:spacing w:val="0"/>
          <w:sz w:val="38"/>
          <w:szCs w:val="38"/>
          <w:u w:val="none"/>
        </w:rPr>
        <w:t>现将物理科学学院202</w:t>
      </w:r>
      <w:r>
        <w:rPr>
          <w:rFonts w:hint="default" w:ascii="仿宋_GB2312" w:hAnsi="宋体" w:eastAsia="仿宋_GB2312" w:cs="仿宋_GB2312"/>
          <w:b w:val="0"/>
          <w:bCs w:val="0"/>
          <w:i w:val="0"/>
          <w:iCs w:val="0"/>
          <w:caps w:val="0"/>
          <w:color w:val="auto"/>
          <w:spacing w:val="0"/>
          <w:sz w:val="38"/>
          <w:szCs w:val="38"/>
          <w:u w:val="none"/>
        </w:rPr>
        <w:t>3</w:t>
      </w:r>
      <w:r>
        <w:rPr>
          <w:rFonts w:ascii="仿宋_GB2312" w:hAnsi="宋体" w:eastAsia="仿宋_GB2312" w:cs="仿宋_GB2312"/>
          <w:b w:val="0"/>
          <w:bCs w:val="0"/>
          <w:i w:val="0"/>
          <w:iCs w:val="0"/>
          <w:caps w:val="0"/>
          <w:color w:val="auto"/>
          <w:spacing w:val="0"/>
          <w:sz w:val="38"/>
          <w:szCs w:val="38"/>
          <w:u w:val="none"/>
        </w:rPr>
        <w:t>年 “综合素质评估”工作相关安排通知如下，请参照开展评估工作。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1. 202</w:t>
      </w:r>
      <w:r>
        <w:rPr>
          <w:rFonts w:hint="default" w:ascii="仿宋_GB2312" w:hAnsi="宋体" w:eastAsia="仿宋_GB2312" w:cs="仿宋_GB2312"/>
          <w:b w:val="0"/>
          <w:bCs w:val="0"/>
          <w:i w:val="0"/>
          <w:iCs w:val="0"/>
          <w:caps w:val="0"/>
          <w:color w:val="auto"/>
          <w:spacing w:val="0"/>
          <w:sz w:val="38"/>
          <w:szCs w:val="38"/>
          <w:u w:val="none"/>
        </w:rPr>
        <w:t>3</w:t>
      </w:r>
      <w:r>
        <w:rPr>
          <w:rFonts w:hint="default" w:ascii="仿宋_GB2312" w:hAnsi="宋体" w:eastAsia="仿宋_GB2312" w:cs="仿宋_GB2312"/>
          <w:b w:val="0"/>
          <w:bCs w:val="0"/>
          <w:i w:val="0"/>
          <w:iCs w:val="0"/>
          <w:caps w:val="0"/>
          <w:color w:val="auto"/>
          <w:spacing w:val="0"/>
          <w:sz w:val="38"/>
          <w:szCs w:val="38"/>
          <w:u w:val="none"/>
        </w:rPr>
        <w:t>年“综合素质评估”对象为南开大学2020级、2021</w:t>
      </w:r>
      <w:r>
        <w:rPr>
          <w:rFonts w:hint="default" w:ascii="仿宋_GB2312" w:hAnsi="宋体" w:eastAsia="仿宋_GB2312" w:cs="仿宋_GB2312"/>
          <w:b w:val="0"/>
          <w:bCs w:val="0"/>
          <w:i w:val="0"/>
          <w:iCs w:val="0"/>
          <w:caps w:val="0"/>
          <w:color w:val="auto"/>
          <w:spacing w:val="0"/>
          <w:sz w:val="38"/>
          <w:szCs w:val="38"/>
          <w:u w:val="none"/>
        </w:rPr>
        <w:t>级</w:t>
      </w:r>
      <w:r>
        <w:rPr>
          <w:rFonts w:hint="default" w:ascii="仿宋_GB2312" w:hAnsi="宋体" w:eastAsia="仿宋_GB2312" w:cs="仿宋_GB2312"/>
          <w:b w:val="0"/>
          <w:bCs w:val="0"/>
          <w:i w:val="0"/>
          <w:iCs w:val="0"/>
          <w:caps w:val="0"/>
          <w:color w:val="auto"/>
          <w:spacing w:val="0"/>
          <w:sz w:val="38"/>
          <w:szCs w:val="38"/>
          <w:u w:val="none"/>
        </w:rPr>
        <w:t>、</w:t>
      </w:r>
      <w:r>
        <w:rPr>
          <w:rFonts w:hint="default" w:ascii="仿宋_GB2312" w:hAnsi="宋体" w:eastAsia="仿宋_GB2312" w:cs="仿宋_GB2312"/>
          <w:b w:val="0"/>
          <w:bCs w:val="0"/>
          <w:i w:val="0"/>
          <w:iCs w:val="0"/>
          <w:caps w:val="0"/>
          <w:color w:val="auto"/>
          <w:spacing w:val="0"/>
          <w:sz w:val="38"/>
          <w:szCs w:val="38"/>
          <w:u w:val="none"/>
        </w:rPr>
        <w:t>20</w:t>
      </w:r>
      <w:r>
        <w:rPr>
          <w:rFonts w:hint="default" w:ascii="仿宋_GB2312" w:hAnsi="宋体" w:eastAsia="仿宋_GB2312" w:cs="仿宋_GB2312"/>
          <w:b w:val="0"/>
          <w:bCs w:val="0"/>
          <w:i w:val="0"/>
          <w:iCs w:val="0"/>
          <w:caps w:val="0"/>
          <w:color w:val="auto"/>
          <w:spacing w:val="0"/>
          <w:sz w:val="38"/>
          <w:szCs w:val="38"/>
          <w:u w:val="none"/>
        </w:rPr>
        <w:t>22</w:t>
      </w:r>
      <w:r>
        <w:rPr>
          <w:rFonts w:hint="default" w:ascii="仿宋_GB2312" w:hAnsi="宋体" w:eastAsia="仿宋_GB2312" w:cs="仿宋_GB2312"/>
          <w:b w:val="0"/>
          <w:bCs w:val="0"/>
          <w:i w:val="0"/>
          <w:iCs w:val="0"/>
          <w:caps w:val="0"/>
          <w:color w:val="auto"/>
          <w:spacing w:val="0"/>
          <w:sz w:val="38"/>
          <w:szCs w:val="38"/>
          <w:u w:val="none"/>
        </w:rPr>
        <w:t>级全日制本科生，“综合素质评估”为</w:t>
      </w:r>
      <w:r>
        <w:rPr>
          <w:rFonts w:hint="default" w:ascii="仿宋_GB2312" w:hAnsi="宋体" w:eastAsia="仿宋_GB2312" w:cs="仿宋_GB2312"/>
          <w:b w:val="0"/>
          <w:bCs w:val="0"/>
          <w:i w:val="0"/>
          <w:iCs w:val="0"/>
          <w:caps w:val="0"/>
          <w:color w:val="auto"/>
          <w:spacing w:val="0"/>
          <w:sz w:val="38"/>
          <w:szCs w:val="38"/>
          <w:u w:val="none"/>
        </w:rPr>
        <w:t>2020级、2021级、2022级</w:t>
      </w:r>
      <w:r>
        <w:rPr>
          <w:rFonts w:hint="default" w:ascii="仿宋_GB2312" w:hAnsi="宋体" w:eastAsia="仿宋_GB2312" w:cs="仿宋_GB2312"/>
          <w:b w:val="0"/>
          <w:bCs w:val="0"/>
          <w:i w:val="0"/>
          <w:iCs w:val="0"/>
          <w:caps w:val="0"/>
          <w:color w:val="auto"/>
          <w:spacing w:val="0"/>
          <w:sz w:val="38"/>
          <w:szCs w:val="38"/>
          <w:u w:val="none"/>
        </w:rPr>
        <w:t>本科生《公能实践》课中的必修内容；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2.成立物理科学学院学生“综合素质评估”工作领导小组，组长由学院党委副书记担任，成员为学院全体辅导员；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3.各年级应需要认真学习学院发布的评估指标及项目说明；评估工作依托“立公增能辅学平台”（fuxue.nankai.edu.cn）全面展开，“立公增能辅学平台”有电脑pc端与手机客户端（手机端口如用外网需要vpn）；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4. 20</w:t>
      </w:r>
      <w:r>
        <w:rPr>
          <w:rFonts w:hint="default" w:ascii="仿宋_GB2312" w:hAnsi="宋体" w:eastAsia="仿宋_GB2312" w:cs="仿宋_GB2312"/>
          <w:b w:val="0"/>
          <w:bCs w:val="0"/>
          <w:i w:val="0"/>
          <w:iCs w:val="0"/>
          <w:caps w:val="0"/>
          <w:color w:val="auto"/>
          <w:spacing w:val="0"/>
          <w:sz w:val="38"/>
          <w:szCs w:val="38"/>
          <w:u w:val="none"/>
        </w:rPr>
        <w:t>20</w:t>
      </w:r>
      <w:r>
        <w:rPr>
          <w:rFonts w:hint="default" w:ascii="仿宋_GB2312" w:hAnsi="宋体" w:eastAsia="仿宋_GB2312" w:cs="仿宋_GB2312"/>
          <w:b w:val="0"/>
          <w:bCs w:val="0"/>
          <w:i w:val="0"/>
          <w:iCs w:val="0"/>
          <w:caps w:val="0"/>
          <w:color w:val="auto"/>
          <w:spacing w:val="0"/>
          <w:sz w:val="38"/>
          <w:szCs w:val="38"/>
          <w:u w:val="none"/>
        </w:rPr>
        <w:t>级、202</w:t>
      </w:r>
      <w:r>
        <w:rPr>
          <w:rFonts w:hint="default" w:ascii="仿宋_GB2312" w:hAnsi="宋体" w:eastAsia="仿宋_GB2312" w:cs="仿宋_GB2312"/>
          <w:b w:val="0"/>
          <w:bCs w:val="0"/>
          <w:i w:val="0"/>
          <w:iCs w:val="0"/>
          <w:caps w:val="0"/>
          <w:color w:val="auto"/>
          <w:spacing w:val="0"/>
          <w:sz w:val="38"/>
          <w:szCs w:val="38"/>
          <w:u w:val="none"/>
        </w:rPr>
        <w:t>1</w:t>
      </w:r>
      <w:r>
        <w:rPr>
          <w:rFonts w:hint="default" w:ascii="仿宋_GB2312" w:hAnsi="宋体" w:eastAsia="仿宋_GB2312" w:cs="仿宋_GB2312"/>
          <w:b w:val="0"/>
          <w:bCs w:val="0"/>
          <w:i w:val="0"/>
          <w:iCs w:val="0"/>
          <w:caps w:val="0"/>
          <w:color w:val="auto"/>
          <w:spacing w:val="0"/>
          <w:sz w:val="38"/>
          <w:szCs w:val="38"/>
          <w:u w:val="none"/>
        </w:rPr>
        <w:t>级于</w:t>
      </w:r>
      <w:r>
        <w:rPr>
          <w:rFonts w:hint="default" w:ascii="仿宋_GB2312" w:hAnsi="宋体" w:eastAsia="仿宋_GB2312" w:cs="仿宋_GB2312"/>
          <w:b w:val="0"/>
          <w:bCs w:val="0"/>
          <w:i w:val="0"/>
          <w:iCs w:val="0"/>
          <w:caps w:val="0"/>
          <w:color w:val="auto"/>
          <w:spacing w:val="0"/>
          <w:sz w:val="38"/>
          <w:szCs w:val="38"/>
          <w:u w:val="none"/>
        </w:rPr>
        <w:t>9</w:t>
      </w:r>
      <w:r>
        <w:rPr>
          <w:rFonts w:hint="default" w:ascii="仿宋_GB2312" w:hAnsi="宋体" w:eastAsia="仿宋_GB2312" w:cs="仿宋_GB2312"/>
          <w:b w:val="0"/>
          <w:bCs w:val="0"/>
          <w:i w:val="0"/>
          <w:iCs w:val="0"/>
          <w:caps w:val="0"/>
          <w:color w:val="auto"/>
          <w:spacing w:val="0"/>
          <w:sz w:val="38"/>
          <w:szCs w:val="38"/>
          <w:u w:val="none"/>
        </w:rPr>
        <w:t>月</w:t>
      </w:r>
      <w:r>
        <w:rPr>
          <w:rFonts w:hint="default" w:ascii="仿宋_GB2312" w:hAnsi="宋体" w:eastAsia="仿宋_GB2312" w:cs="仿宋_GB2312"/>
          <w:b w:val="0"/>
          <w:bCs w:val="0"/>
          <w:i w:val="0"/>
          <w:iCs w:val="0"/>
          <w:caps w:val="0"/>
          <w:color w:val="auto"/>
          <w:spacing w:val="0"/>
          <w:sz w:val="38"/>
          <w:szCs w:val="38"/>
          <w:u w:val="none"/>
        </w:rPr>
        <w:t>20</w:t>
      </w:r>
      <w:r>
        <w:rPr>
          <w:rFonts w:hint="default" w:ascii="仿宋_GB2312" w:hAnsi="宋体" w:eastAsia="仿宋_GB2312" w:cs="仿宋_GB2312"/>
          <w:b w:val="0"/>
          <w:bCs w:val="0"/>
          <w:i w:val="0"/>
          <w:iCs w:val="0"/>
          <w:caps w:val="0"/>
          <w:color w:val="auto"/>
          <w:spacing w:val="0"/>
          <w:sz w:val="38"/>
          <w:szCs w:val="38"/>
          <w:u w:val="none"/>
        </w:rPr>
        <w:t>日前、202</w:t>
      </w:r>
      <w:r>
        <w:rPr>
          <w:rFonts w:hint="default" w:ascii="仿宋_GB2312" w:hAnsi="宋体" w:eastAsia="仿宋_GB2312" w:cs="仿宋_GB2312"/>
          <w:b w:val="0"/>
          <w:bCs w:val="0"/>
          <w:i w:val="0"/>
          <w:iCs w:val="0"/>
          <w:caps w:val="0"/>
          <w:color w:val="auto"/>
          <w:spacing w:val="0"/>
          <w:sz w:val="38"/>
          <w:szCs w:val="38"/>
          <w:u w:val="none"/>
        </w:rPr>
        <w:t>2</w:t>
      </w:r>
      <w:r>
        <w:rPr>
          <w:rFonts w:hint="default" w:ascii="仿宋_GB2312" w:hAnsi="宋体" w:eastAsia="仿宋_GB2312" w:cs="仿宋_GB2312"/>
          <w:b w:val="0"/>
          <w:bCs w:val="0"/>
          <w:i w:val="0"/>
          <w:iCs w:val="0"/>
          <w:caps w:val="0"/>
          <w:color w:val="auto"/>
          <w:spacing w:val="0"/>
          <w:sz w:val="38"/>
          <w:szCs w:val="38"/>
          <w:u w:val="none"/>
        </w:rPr>
        <w:t>级于10月31日前开展“综合素质评估”工作，各年级具体工作开展由对应辅导员负责，以班级为单位开展；</w:t>
      </w:r>
      <w:r>
        <w:rPr>
          <w:rFonts w:hint="eastAsia" w:ascii="仿宋_GB2312" w:hAnsi="宋体" w:eastAsia="仿宋_GB2312" w:cs="仿宋_GB2312"/>
          <w:b w:val="0"/>
          <w:bCs w:val="0"/>
          <w:i w:val="0"/>
          <w:iCs w:val="0"/>
          <w:caps w:val="0"/>
          <w:color w:val="auto"/>
          <w:spacing w:val="0"/>
          <w:sz w:val="38"/>
          <w:szCs w:val="38"/>
          <w:u w:val="none"/>
          <w:lang w:val="en-US" w:eastAsia="zh-Hans"/>
        </w:rPr>
        <w:t>各班需</w:t>
      </w:r>
      <w:r>
        <w:rPr>
          <w:rFonts w:hint="default" w:ascii="仿宋_GB2312" w:hAnsi="宋体" w:eastAsia="仿宋_GB2312" w:cs="仿宋_GB2312"/>
          <w:b w:val="0"/>
          <w:bCs w:val="0"/>
          <w:i w:val="0"/>
          <w:iCs w:val="0"/>
          <w:caps w:val="0"/>
          <w:color w:val="auto"/>
          <w:spacing w:val="0"/>
          <w:sz w:val="38"/>
          <w:szCs w:val="38"/>
          <w:u w:val="none"/>
        </w:rPr>
        <w:t>根据实际情况，采取线下为主、平台辅助的方式开展评估，其中2022级学生务必在平台上做好记录。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5.各班在班会开始前，根据学院要求，确定班会时间、地点、人数以及他评委员会成员，在辅导员处进行预约。在各班开始“综合素质评估”前，由物理科学学院学生“综合素质评估”工作领导小组组长解读评估的背景、目的与意义等进行深入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6.转专业的同学，今年转专业的在转出专业（原专业）参评，去年转专业的同学在转入专业（新专业）参评;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40"/>
        <w:rPr>
          <w:rFonts w:hint="eastAsia" w:ascii="宋体" w:hAnsi="宋体" w:eastAsia="宋体" w:cs="宋体"/>
          <w:b w:val="0"/>
          <w:bCs w:val="0"/>
          <w:i w:val="0"/>
          <w:iCs w:val="0"/>
          <w:caps w:val="0"/>
          <w:color w:val="auto"/>
          <w:spacing w:val="0"/>
          <w:sz w:val="27"/>
          <w:szCs w:val="27"/>
          <w:u w:val="none"/>
        </w:rPr>
      </w:pPr>
      <w:r>
        <w:rPr>
          <w:rFonts w:hint="default" w:ascii="仿宋_GB2312" w:hAnsi="宋体" w:eastAsia="仿宋_GB2312" w:cs="仿宋_GB2312"/>
          <w:b w:val="0"/>
          <w:bCs w:val="0"/>
          <w:i w:val="0"/>
          <w:iCs w:val="0"/>
          <w:caps w:val="0"/>
          <w:color w:val="auto"/>
          <w:spacing w:val="0"/>
          <w:sz w:val="38"/>
          <w:szCs w:val="38"/>
          <w:u w:val="none"/>
        </w:rPr>
        <w:t>7.学生须在“综合素质评估”班会开始前完成自评问卷与个人素质发展书面总结；“综合素质评估”班会结束后，学生可立即查看学生他评互评结果，学生测评反馈将由辅导员在测评结束后通过线上线下结合的方式进行；辅导员在完成评估反馈后，学生须尽快完成个人成长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宋体" w:hAnsi="宋体" w:eastAsia="宋体" w:cs="宋体"/>
          <w:b w:val="0"/>
          <w:bCs w:val="0"/>
          <w:i w:val="0"/>
          <w:iCs w:val="0"/>
          <w:caps w:val="0"/>
          <w:color w:val="auto"/>
          <w:spacing w:val="0"/>
          <w:sz w:val="28"/>
          <w:szCs w:val="28"/>
          <w:u w:val="none"/>
        </w:rPr>
      </w:pPr>
      <w:r>
        <w:rPr>
          <w:rFonts w:hint="default" w:ascii="仿宋_GB2312" w:hAnsi="宋体" w:eastAsia="仿宋_GB2312" w:cs="仿宋_GB2312"/>
          <w:b w:val="0"/>
          <w:bCs w:val="0"/>
          <w:i w:val="0"/>
          <w:iCs w:val="0"/>
          <w:caps w:val="0"/>
          <w:color w:val="auto"/>
          <w:spacing w:val="0"/>
          <w:sz w:val="38"/>
          <w:szCs w:val="38"/>
          <w:u w:val="none"/>
        </w:rPr>
        <w:t>8.参加202</w:t>
      </w:r>
      <w:r>
        <w:rPr>
          <w:rFonts w:hint="default" w:ascii="仿宋_GB2312" w:hAnsi="宋体" w:eastAsia="仿宋_GB2312" w:cs="仿宋_GB2312"/>
          <w:b w:val="0"/>
          <w:bCs w:val="0"/>
          <w:i w:val="0"/>
          <w:iCs w:val="0"/>
          <w:caps w:val="0"/>
          <w:color w:val="auto"/>
          <w:spacing w:val="0"/>
          <w:sz w:val="38"/>
          <w:szCs w:val="38"/>
          <w:u w:val="none"/>
        </w:rPr>
        <w:t>2</w:t>
      </w:r>
      <w:r>
        <w:rPr>
          <w:rFonts w:hint="default" w:ascii="仿宋_GB2312" w:hAnsi="宋体" w:eastAsia="仿宋_GB2312" w:cs="仿宋_GB2312"/>
          <w:b w:val="0"/>
          <w:bCs w:val="0"/>
          <w:i w:val="0"/>
          <w:iCs w:val="0"/>
          <w:caps w:val="0"/>
          <w:color w:val="auto"/>
          <w:spacing w:val="0"/>
          <w:sz w:val="38"/>
          <w:szCs w:val="38"/>
          <w:u w:val="none"/>
        </w:rPr>
        <w:t>-202</w:t>
      </w:r>
      <w:r>
        <w:rPr>
          <w:rFonts w:hint="default" w:ascii="仿宋_GB2312" w:hAnsi="宋体" w:eastAsia="仿宋_GB2312" w:cs="仿宋_GB2312"/>
          <w:b w:val="0"/>
          <w:bCs w:val="0"/>
          <w:i w:val="0"/>
          <w:iCs w:val="0"/>
          <w:caps w:val="0"/>
          <w:color w:val="auto"/>
          <w:spacing w:val="0"/>
          <w:sz w:val="38"/>
          <w:szCs w:val="38"/>
          <w:u w:val="none"/>
        </w:rPr>
        <w:t>3</w:t>
      </w:r>
      <w:r>
        <w:rPr>
          <w:rFonts w:hint="default" w:ascii="仿宋_GB2312" w:hAnsi="宋体" w:eastAsia="仿宋_GB2312" w:cs="仿宋_GB2312"/>
          <w:b w:val="0"/>
          <w:bCs w:val="0"/>
          <w:i w:val="0"/>
          <w:iCs w:val="0"/>
          <w:caps w:val="0"/>
          <w:color w:val="auto"/>
          <w:spacing w:val="0"/>
          <w:sz w:val="38"/>
          <w:szCs w:val="38"/>
          <w:u w:val="none"/>
        </w:rPr>
        <w:t>学年度奖学金、荣誉称号评定者须参加“综合素质评估”并合格；20</w:t>
      </w:r>
      <w:r>
        <w:rPr>
          <w:rFonts w:hint="default" w:ascii="仿宋_GB2312" w:hAnsi="宋体" w:eastAsia="仿宋_GB2312" w:cs="仿宋_GB2312"/>
          <w:b w:val="0"/>
          <w:bCs w:val="0"/>
          <w:i w:val="0"/>
          <w:iCs w:val="0"/>
          <w:caps w:val="0"/>
          <w:color w:val="auto"/>
          <w:spacing w:val="0"/>
          <w:sz w:val="38"/>
          <w:szCs w:val="38"/>
          <w:u w:val="none"/>
        </w:rPr>
        <w:t>20</w:t>
      </w:r>
      <w:r>
        <w:rPr>
          <w:rFonts w:hint="default" w:ascii="仿宋_GB2312" w:hAnsi="宋体" w:eastAsia="仿宋_GB2312" w:cs="仿宋_GB2312"/>
          <w:b w:val="0"/>
          <w:bCs w:val="0"/>
          <w:i w:val="0"/>
          <w:iCs w:val="0"/>
          <w:caps w:val="0"/>
          <w:color w:val="auto"/>
          <w:spacing w:val="0"/>
          <w:sz w:val="38"/>
          <w:szCs w:val="38"/>
          <w:u w:val="none"/>
        </w:rPr>
        <w:t>级、202</w:t>
      </w:r>
      <w:r>
        <w:rPr>
          <w:rFonts w:hint="default" w:ascii="仿宋_GB2312" w:hAnsi="宋体" w:eastAsia="仿宋_GB2312" w:cs="仿宋_GB2312"/>
          <w:b w:val="0"/>
          <w:bCs w:val="0"/>
          <w:i w:val="0"/>
          <w:iCs w:val="0"/>
          <w:caps w:val="0"/>
          <w:color w:val="auto"/>
          <w:spacing w:val="0"/>
          <w:sz w:val="38"/>
          <w:szCs w:val="38"/>
          <w:u w:val="none"/>
        </w:rPr>
        <w:t>1</w:t>
      </w:r>
      <w:r>
        <w:rPr>
          <w:rFonts w:hint="default" w:ascii="仿宋_GB2312" w:hAnsi="宋体" w:eastAsia="仿宋_GB2312" w:cs="仿宋_GB2312"/>
          <w:b w:val="0"/>
          <w:bCs w:val="0"/>
          <w:i w:val="0"/>
          <w:iCs w:val="0"/>
          <w:caps w:val="0"/>
          <w:color w:val="auto"/>
          <w:spacing w:val="0"/>
          <w:sz w:val="38"/>
          <w:szCs w:val="38"/>
          <w:u w:val="none"/>
        </w:rPr>
        <w:t>级通过“综合素质评估”评选出202</w:t>
      </w:r>
      <w:r>
        <w:rPr>
          <w:rFonts w:hint="default" w:ascii="仿宋_GB2312" w:hAnsi="宋体" w:eastAsia="仿宋_GB2312" w:cs="仿宋_GB2312"/>
          <w:b w:val="0"/>
          <w:bCs w:val="0"/>
          <w:i w:val="0"/>
          <w:iCs w:val="0"/>
          <w:caps w:val="0"/>
          <w:color w:val="auto"/>
          <w:spacing w:val="0"/>
          <w:sz w:val="38"/>
          <w:szCs w:val="38"/>
          <w:u w:val="none"/>
        </w:rPr>
        <w:t>2</w:t>
      </w:r>
      <w:r>
        <w:rPr>
          <w:rFonts w:hint="default" w:ascii="仿宋_GB2312" w:hAnsi="宋体" w:eastAsia="仿宋_GB2312" w:cs="仿宋_GB2312"/>
          <w:b w:val="0"/>
          <w:bCs w:val="0"/>
          <w:i w:val="0"/>
          <w:iCs w:val="0"/>
          <w:caps w:val="0"/>
          <w:color w:val="auto"/>
          <w:spacing w:val="0"/>
          <w:sz w:val="38"/>
          <w:szCs w:val="38"/>
          <w:u w:val="none"/>
        </w:rPr>
        <w:t>-202</w:t>
      </w:r>
      <w:r>
        <w:rPr>
          <w:rFonts w:hint="default" w:ascii="仿宋_GB2312" w:hAnsi="宋体" w:eastAsia="仿宋_GB2312" w:cs="仿宋_GB2312"/>
          <w:b w:val="0"/>
          <w:bCs w:val="0"/>
          <w:i w:val="0"/>
          <w:iCs w:val="0"/>
          <w:caps w:val="0"/>
          <w:color w:val="auto"/>
          <w:spacing w:val="0"/>
          <w:sz w:val="38"/>
          <w:szCs w:val="38"/>
          <w:u w:val="none"/>
        </w:rPr>
        <w:t>3</w:t>
      </w:r>
      <w:r>
        <w:rPr>
          <w:rFonts w:hint="default" w:ascii="仿宋_GB2312" w:hAnsi="宋体" w:eastAsia="仿宋_GB2312" w:cs="仿宋_GB2312"/>
          <w:b w:val="0"/>
          <w:bCs w:val="0"/>
          <w:i w:val="0"/>
          <w:iCs w:val="0"/>
          <w:caps w:val="0"/>
          <w:color w:val="auto"/>
          <w:spacing w:val="0"/>
          <w:sz w:val="38"/>
          <w:szCs w:val="38"/>
          <w:u w:val="none"/>
        </w:rPr>
        <w:t>学年度“学生服务奖学金”候选人及物理科学学院“优秀学生”、“优秀学生骨干”候选人。</w:t>
      </w:r>
    </w:p>
    <w:tbl>
      <w:tblPr>
        <w:tblStyle w:val="3"/>
        <w:tblW w:w="4998" w:type="pct"/>
        <w:tblInd w:w="0" w:type="dxa"/>
        <w:tblLayout w:type="autofit"/>
        <w:tblCellMar>
          <w:top w:w="0" w:type="dxa"/>
          <w:left w:w="0" w:type="dxa"/>
          <w:bottom w:w="0" w:type="dxa"/>
          <w:right w:w="0" w:type="dxa"/>
        </w:tblCellMar>
      </w:tblPr>
      <w:tblGrid>
        <w:gridCol w:w="1100"/>
        <w:gridCol w:w="2454"/>
        <w:gridCol w:w="4769"/>
      </w:tblGrid>
      <w:tr>
        <w:trPr>
          <w:cantSplit/>
          <w:trHeight w:val="113" w:hRule="atLeast"/>
        </w:trPr>
        <w:tc>
          <w:tcPr>
            <w:tcW w:w="661" w:type="pct"/>
            <w:tcBorders>
              <w:top w:val="single" w:color="000000" w:sz="8" w:space="0"/>
              <w:left w:val="single" w:color="000000"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一级指标</w:t>
            </w:r>
          </w:p>
        </w:tc>
        <w:tc>
          <w:tcPr>
            <w:tcW w:w="1474"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二级指标</w:t>
            </w: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三级指标</w:t>
            </w:r>
          </w:p>
        </w:tc>
      </w:tr>
      <w:tr>
        <w:trPr>
          <w:cantSplit/>
          <w:trHeight w:val="113" w:hRule="atLeast"/>
        </w:trPr>
        <w:tc>
          <w:tcPr>
            <w:tcW w:w="661" w:type="pct"/>
            <w:vMerge w:val="restart"/>
            <w:tcBorders>
              <w:top w:val="single" w:color="auto" w:sz="8" w:space="0"/>
              <w:left w:val="single" w:color="auto"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kern w:val="0"/>
                <w:sz w:val="24"/>
                <w:lang w:bidi="ar"/>
              </w:rPr>
            </w:pPr>
            <w:r>
              <w:rPr>
                <w:rFonts w:ascii="仿宋" w:hAnsi="仿宋" w:eastAsia="仿宋" w:cs="仿宋"/>
                <w:color w:val="auto"/>
                <w:kern w:val="0"/>
                <w:sz w:val="24"/>
                <w:lang w:bidi="ar"/>
              </w:rPr>
              <w:t>“公”</w:t>
            </w:r>
          </w:p>
          <w:p>
            <w:pPr>
              <w:widowControl/>
              <w:spacing w:line="240" w:lineRule="atLeast"/>
              <w:jc w:val="center"/>
              <w:textAlignment w:val="center"/>
              <w:rPr>
                <w:rFonts w:ascii="等线" w:hAnsi="等线" w:eastAsia="等线" w:cs="等线"/>
                <w:color w:val="auto"/>
                <w:sz w:val="22"/>
                <w:szCs w:val="22"/>
              </w:rPr>
            </w:pPr>
            <w:r>
              <w:rPr>
                <w:rFonts w:ascii="仿宋" w:hAnsi="仿宋" w:eastAsia="仿宋" w:cs="仿宋"/>
                <w:color w:val="auto"/>
                <w:kern w:val="0"/>
                <w:sz w:val="24"/>
                <w:lang w:bidi="ar"/>
              </w:rPr>
              <w:t>Public Interests</w:t>
            </w:r>
          </w:p>
        </w:tc>
        <w:tc>
          <w:tcPr>
            <w:tcW w:w="1474" w:type="pct"/>
            <w:vMerge w:val="restar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理想信念</w:t>
            </w:r>
          </w:p>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Ideal and Conviction</w:t>
            </w:r>
          </w:p>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（个人与社会的关系）</w:t>
            </w: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爱国之心</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 xml:space="preserve">Love for the Country </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仿宋" w:hAnsi="仿宋" w:eastAsia="仿宋" w:cs="仿宋"/>
                <w:color w:val="auto"/>
                <w:sz w:val="24"/>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政治立场</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Political Stand</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爱人民，为人民服务</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Loving &amp; Serving the People</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爱社会主义</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Love for Socialism</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社会责任感</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Social Responsibility</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集体意识</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Collective Consciousness</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担当</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Sense of Responsibility</w:t>
            </w:r>
          </w:p>
        </w:tc>
      </w:tr>
      <w:tr>
        <w:trPr>
          <w:cantSplit/>
          <w:trHeight w:val="113" w:hRule="atLeast"/>
        </w:trPr>
        <w:tc>
          <w:tcPr>
            <w:tcW w:w="661" w:type="pct"/>
            <w:vMerge w:val="continue"/>
            <w:tcBorders>
              <w:left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000000"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个人抱负</w:t>
            </w:r>
          </w:p>
          <w:p>
            <w:pPr>
              <w:spacing w:line="240" w:lineRule="atLeast"/>
              <w:jc w:val="center"/>
              <w:textAlignment w:val="center"/>
              <w:rPr>
                <w:rFonts w:ascii="仿宋" w:hAnsi="仿宋" w:eastAsia="仿宋" w:cs="仿宋"/>
                <w:color w:val="auto"/>
                <w:sz w:val="24"/>
              </w:rPr>
            </w:pPr>
            <w:r>
              <w:rPr>
                <w:rStyle w:val="6"/>
                <w:rFonts w:hint="default"/>
                <w:color w:val="auto"/>
                <w:lang w:bidi="ar"/>
              </w:rPr>
              <w:t>Personal Ambition</w:t>
            </w:r>
          </w:p>
        </w:tc>
      </w:tr>
      <w:tr>
        <w:trPr>
          <w:cantSplit/>
          <w:trHeight w:val="113" w:hRule="atLeast"/>
        </w:trPr>
        <w:tc>
          <w:tcPr>
            <w:tcW w:w="661" w:type="pct"/>
            <w:vMerge w:val="continue"/>
            <w:tcBorders>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restart"/>
            <w:tcBorders>
              <w:top w:val="single" w:color="000000"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kern w:val="0"/>
                <w:sz w:val="24"/>
                <w:lang w:bidi="ar"/>
              </w:rPr>
            </w:pPr>
            <w:r>
              <w:rPr>
                <w:rFonts w:ascii="仿宋" w:hAnsi="仿宋" w:eastAsia="仿宋" w:cs="仿宋"/>
                <w:color w:val="auto"/>
                <w:kern w:val="0"/>
                <w:sz w:val="24"/>
                <w:lang w:bidi="ar"/>
              </w:rPr>
              <w:t>道德素养</w:t>
            </w:r>
          </w:p>
          <w:p>
            <w:pPr>
              <w:widowControl/>
              <w:spacing w:line="240" w:lineRule="atLeast"/>
              <w:jc w:val="center"/>
              <w:textAlignment w:val="center"/>
              <w:rPr>
                <w:rFonts w:ascii="等线" w:hAnsi="等线" w:eastAsia="等线" w:cs="等线"/>
                <w:color w:val="auto"/>
                <w:sz w:val="22"/>
                <w:szCs w:val="22"/>
              </w:rPr>
            </w:pPr>
            <w:r>
              <w:rPr>
                <w:rFonts w:ascii="仿宋" w:hAnsi="仿宋" w:eastAsia="仿宋" w:cs="仿宋"/>
                <w:color w:val="auto"/>
                <w:kern w:val="0"/>
                <w:sz w:val="24"/>
                <w:lang w:bidi="ar"/>
              </w:rPr>
              <w:t>Moral Qualities</w:t>
            </w: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文明礼貌</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Being Polite</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助人为乐</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Taking pleasures in helping others</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爱护公物</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Protecting Public Property</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保护环境</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Protecting Environment</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遵纪守法</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Observing and Obeying Laws and Disciplines</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爱岗敬业</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Dedication to Work</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诚实守信</w:t>
            </w:r>
          </w:p>
          <w:p>
            <w:pPr>
              <w:spacing w:line="240" w:lineRule="atLeast"/>
              <w:jc w:val="center"/>
              <w:textAlignment w:val="center"/>
              <w:rPr>
                <w:rFonts w:ascii="仿宋" w:hAnsi="仿宋" w:eastAsia="仿宋" w:cs="仿宋"/>
                <w:color w:val="auto"/>
                <w:sz w:val="24"/>
              </w:rPr>
            </w:pPr>
            <w:r>
              <w:rPr>
                <w:rFonts w:ascii="仿宋" w:hAnsi="仿宋" w:eastAsia="仿宋" w:cs="仿宋"/>
                <w:color w:val="auto"/>
                <w:kern w:val="0"/>
                <w:sz w:val="24"/>
                <w:lang w:bidi="ar"/>
              </w:rPr>
              <w:t>Being Honest and Keeping the promise</w:t>
            </w:r>
          </w:p>
        </w:tc>
      </w:tr>
      <w:tr>
        <w:trPr>
          <w:cantSplit/>
          <w:trHeight w:val="109"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ascii="仿宋" w:hAnsi="仿宋" w:eastAsia="仿宋" w:cs="仿宋"/>
                <w:color w:val="auto"/>
                <w:kern w:val="0"/>
                <w:sz w:val="24"/>
                <w:lang w:bidi="ar"/>
              </w:rPr>
              <w:t>分享与奉献</w:t>
            </w:r>
          </w:p>
          <w:p>
            <w:pPr>
              <w:jc w:val="center"/>
              <w:textAlignment w:val="center"/>
              <w:rPr>
                <w:rFonts w:ascii="仿宋" w:hAnsi="仿宋" w:eastAsia="仿宋" w:cs="仿宋"/>
                <w:color w:val="auto"/>
                <w:sz w:val="24"/>
              </w:rPr>
            </w:pPr>
            <w:r>
              <w:rPr>
                <w:rFonts w:ascii="仿宋" w:hAnsi="仿宋" w:eastAsia="仿宋" w:cs="仿宋"/>
                <w:color w:val="auto"/>
                <w:kern w:val="0"/>
                <w:sz w:val="24"/>
                <w:lang w:bidi="ar"/>
              </w:rPr>
              <w:t>Sharing and Dedication</w:t>
            </w:r>
          </w:p>
        </w:tc>
      </w:tr>
      <w:tr>
        <w:trPr>
          <w:cantSplit/>
          <w:trHeight w:val="34"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hint="eastAsia"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hint="eastAsia"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尊师孝亲，敬长爱幼</w:t>
            </w:r>
          </w:p>
          <w:p>
            <w:pPr>
              <w:spacing w:line="240" w:lineRule="atLeas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Respecting the Elderly, Caring fo</w:t>
            </w:r>
            <w:r>
              <w:rPr>
                <w:rFonts w:ascii="仿宋" w:hAnsi="仿宋" w:eastAsia="仿宋" w:cs="仿宋"/>
                <w:color w:val="auto"/>
                <w:kern w:val="0"/>
                <w:sz w:val="24"/>
                <w:lang w:bidi="ar"/>
              </w:rPr>
              <w:t xml:space="preserve">r </w:t>
            </w:r>
            <w:r>
              <w:rPr>
                <w:rFonts w:hint="eastAsia" w:ascii="仿宋" w:hAnsi="仿宋" w:eastAsia="仿宋" w:cs="仿宋"/>
                <w:color w:val="auto"/>
                <w:kern w:val="0"/>
                <w:sz w:val="24"/>
                <w:lang w:bidi="ar"/>
              </w:rPr>
              <w:t>the Young</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hint="eastAsia"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hint="eastAsia" w:ascii="等线" w:hAnsi="等线" w:eastAsia="等线" w:cs="等线"/>
                <w:color w:val="auto"/>
                <w:sz w:val="22"/>
                <w:szCs w:val="22"/>
              </w:rPr>
            </w:pPr>
          </w:p>
        </w:tc>
        <w:tc>
          <w:tcPr>
            <w:tcW w:w="2865" w:type="pc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尊重他人、平等待人</w:t>
            </w:r>
          </w:p>
          <w:p>
            <w:pPr>
              <w:spacing w:line="240" w:lineRule="atLeas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Respecting </w:t>
            </w:r>
            <w:r>
              <w:rPr>
                <w:rFonts w:ascii="仿宋" w:hAnsi="仿宋" w:eastAsia="仿宋" w:cs="仿宋"/>
                <w:color w:val="auto"/>
                <w:kern w:val="0"/>
                <w:sz w:val="24"/>
                <w:lang w:bidi="ar"/>
              </w:rPr>
              <w:t>O</w:t>
            </w:r>
            <w:r>
              <w:rPr>
                <w:rFonts w:hint="eastAsia" w:ascii="仿宋" w:hAnsi="仿宋" w:eastAsia="仿宋" w:cs="仿宋"/>
                <w:color w:val="auto"/>
                <w:kern w:val="0"/>
                <w:sz w:val="24"/>
                <w:lang w:bidi="ar"/>
              </w:rPr>
              <w:t>thers，</w:t>
            </w:r>
            <w:r>
              <w:rPr>
                <w:rStyle w:val="7"/>
                <w:rFonts w:hint="default"/>
                <w:color w:val="auto"/>
              </w:rPr>
              <w:t>T</w:t>
            </w:r>
            <w:r>
              <w:rPr>
                <w:rStyle w:val="7"/>
                <w:rFonts w:hint="default"/>
                <w:color w:val="auto"/>
                <w:lang w:bidi="ar"/>
              </w:rPr>
              <w:t>reating</w:t>
            </w:r>
            <w:r>
              <w:rPr>
                <w:rStyle w:val="7"/>
                <w:rFonts w:hint="default" w:ascii="Calibri" w:hAnsi="Calibri" w:cs="Calibri"/>
                <w:color w:val="auto"/>
                <w:lang w:bidi="ar"/>
              </w:rPr>
              <w:t xml:space="preserve">  </w:t>
            </w:r>
            <w:r>
              <w:rPr>
                <w:rStyle w:val="7"/>
                <w:rFonts w:hint="default"/>
                <w:color w:val="auto"/>
                <w:lang w:bidi="ar"/>
              </w:rPr>
              <w:t>Others equally</w:t>
            </w:r>
          </w:p>
        </w:tc>
      </w:tr>
      <w:tr>
        <w:trPr>
          <w:cantSplit/>
          <w:trHeight w:val="113" w:hRule="atLeast"/>
        </w:trPr>
        <w:tc>
          <w:tcPr>
            <w:tcW w:w="661" w:type="pct"/>
            <w:vMerge w:val="continue"/>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left"/>
              <w:textAlignment w:val="center"/>
              <w:rPr>
                <w:rFonts w:hint="eastAsia" w:ascii="等线" w:hAnsi="等线" w:eastAsia="等线" w:cs="等线"/>
                <w:color w:val="auto"/>
                <w:sz w:val="22"/>
                <w:szCs w:val="22"/>
              </w:rPr>
            </w:pPr>
          </w:p>
        </w:tc>
        <w:tc>
          <w:tcPr>
            <w:tcW w:w="1474" w:type="pct"/>
            <w:vMerge w:val="continue"/>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spacing w:line="240" w:lineRule="atLeast"/>
              <w:jc w:val="left"/>
              <w:textAlignment w:val="center"/>
              <w:rPr>
                <w:rFonts w:hint="eastAsia" w:ascii="等线" w:hAnsi="等线" w:eastAsia="等线" w:cs="等线"/>
                <w:color w:val="auto"/>
                <w:sz w:val="22"/>
                <w:szCs w:val="22"/>
              </w:rPr>
            </w:pPr>
          </w:p>
        </w:tc>
        <w:tc>
          <w:tcPr>
            <w:tcW w:w="2865" w:type="pct"/>
            <w:tcBorders>
              <w:top w:val="single" w:color="000000"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spacing w:line="240" w:lineRule="atLeast"/>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勤俭节约</w:t>
            </w:r>
          </w:p>
          <w:p>
            <w:pPr>
              <w:spacing w:line="240" w:lineRule="atLeas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Being Diligent and </w:t>
            </w:r>
            <w:r>
              <w:rPr>
                <w:rFonts w:ascii="仿宋" w:hAnsi="仿宋" w:eastAsia="仿宋" w:cs="仿宋"/>
                <w:color w:val="auto"/>
                <w:kern w:val="0"/>
                <w:sz w:val="24"/>
                <w:lang w:bidi="ar"/>
              </w:rPr>
              <w:t>T</w:t>
            </w:r>
            <w:r>
              <w:rPr>
                <w:rFonts w:hint="eastAsia" w:ascii="仿宋" w:hAnsi="仿宋" w:eastAsia="仿宋" w:cs="仿宋"/>
                <w:color w:val="auto"/>
                <w:kern w:val="0"/>
                <w:sz w:val="24"/>
                <w:lang w:bidi="ar"/>
              </w:rPr>
              <w:t>hrifty</w:t>
            </w:r>
          </w:p>
        </w:tc>
      </w:tr>
    </w:tbl>
    <w:p>
      <w:pPr>
        <w:rPr>
          <w:rFonts w:hint="eastAsia"/>
          <w:color w:val="auto"/>
        </w:rPr>
      </w:pPr>
    </w:p>
    <w:tbl>
      <w:tblPr>
        <w:tblStyle w:val="3"/>
        <w:tblW w:w="4998" w:type="pct"/>
        <w:tblInd w:w="0" w:type="dxa"/>
        <w:tblLayout w:type="autofit"/>
        <w:tblCellMar>
          <w:top w:w="0" w:type="dxa"/>
          <w:left w:w="0" w:type="dxa"/>
          <w:bottom w:w="0" w:type="dxa"/>
          <w:right w:w="0" w:type="dxa"/>
        </w:tblCellMar>
      </w:tblPr>
      <w:tblGrid>
        <w:gridCol w:w="1220"/>
        <w:gridCol w:w="2334"/>
        <w:gridCol w:w="4769"/>
      </w:tblGrid>
      <w:tr>
        <w:trPr>
          <w:trHeight w:val="300" w:hRule="atLeast"/>
        </w:trPr>
        <w:tc>
          <w:tcPr>
            <w:tcW w:w="733" w:type="pct"/>
            <w:tcBorders>
              <w:top w:val="single" w:color="auto" w:sz="8" w:space="0"/>
              <w:left w:val="single" w:color="000000" w:sz="8" w:space="0"/>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b/>
                <w:bCs/>
                <w:color w:val="auto"/>
                <w:sz w:val="24"/>
              </w:rPr>
              <w:t>一级指标</w:t>
            </w:r>
          </w:p>
        </w:tc>
        <w:tc>
          <w:tcPr>
            <w:tcW w:w="1402"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b/>
                <w:bCs/>
                <w:color w:val="auto"/>
                <w:sz w:val="24"/>
              </w:rPr>
              <w:t>二级指标</w:t>
            </w: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b/>
                <w:bCs/>
                <w:color w:val="auto"/>
                <w:sz w:val="24"/>
              </w:rPr>
              <w:t>三级指标</w:t>
            </w:r>
          </w:p>
        </w:tc>
      </w:tr>
      <w:tr>
        <w:trPr>
          <w:trHeight w:val="654" w:hRule="atLeast"/>
        </w:trPr>
        <w:tc>
          <w:tcPr>
            <w:tcW w:w="733" w:type="pct"/>
            <w:vMerge w:val="restar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color w:val="auto"/>
                <w:sz w:val="24"/>
              </w:rPr>
              <w:t>“公”</w:t>
            </w:r>
          </w:p>
          <w:p>
            <w:pPr>
              <w:jc w:val="center"/>
              <w:rPr>
                <w:rFonts w:ascii="仿宋" w:hAnsi="仿宋" w:eastAsia="仿宋"/>
                <w:color w:val="auto"/>
                <w:sz w:val="24"/>
              </w:rPr>
            </w:pPr>
            <w:r>
              <w:rPr>
                <w:rFonts w:hint="eastAsia" w:ascii="仿宋" w:hAnsi="仿宋" w:eastAsia="仿宋"/>
                <w:color w:val="auto"/>
                <w:sz w:val="24"/>
              </w:rPr>
              <w:t>Publi</w:t>
            </w:r>
            <w:r>
              <w:rPr>
                <w:rFonts w:ascii="仿宋" w:hAnsi="仿宋" w:eastAsia="仿宋"/>
                <w:color w:val="auto"/>
                <w:sz w:val="24"/>
              </w:rPr>
              <w:t>c</w:t>
            </w:r>
          </w:p>
          <w:p>
            <w:pPr>
              <w:jc w:val="center"/>
              <w:rPr>
                <w:rFonts w:hint="eastAsia" w:ascii="仿宋" w:hAnsi="仿宋" w:eastAsia="仿宋"/>
                <w:color w:val="auto"/>
                <w:sz w:val="24"/>
              </w:rPr>
            </w:pPr>
            <w:r>
              <w:rPr>
                <w:rFonts w:hint="eastAsia" w:ascii="仿宋" w:hAnsi="仿宋" w:eastAsia="仿宋"/>
                <w:color w:val="auto"/>
                <w:sz w:val="24"/>
              </w:rPr>
              <w:t>Interests</w:t>
            </w:r>
          </w:p>
        </w:tc>
        <w:tc>
          <w:tcPr>
            <w:tcW w:w="1402" w:type="pct"/>
            <w:vMerge w:val="restar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color w:val="auto"/>
                <w:sz w:val="24"/>
              </w:rPr>
              <w:t>道德素养</w:t>
            </w:r>
          </w:p>
          <w:p>
            <w:pPr>
              <w:jc w:val="center"/>
              <w:rPr>
                <w:rFonts w:hint="eastAsia" w:ascii="仿宋" w:hAnsi="仿宋" w:eastAsia="仿宋"/>
                <w:color w:val="auto"/>
                <w:sz w:val="24"/>
              </w:rPr>
            </w:pPr>
            <w:r>
              <w:rPr>
                <w:rFonts w:hint="eastAsia" w:ascii="仿宋" w:hAnsi="仿宋" w:eastAsia="仿宋"/>
                <w:color w:val="auto"/>
                <w:sz w:val="24"/>
              </w:rPr>
              <w:t>Moral Qualit</w:t>
            </w:r>
            <w:r>
              <w:rPr>
                <w:rFonts w:ascii="仿宋" w:hAnsi="仿宋" w:eastAsia="仿宋"/>
                <w:color w:val="auto"/>
                <w:sz w:val="24"/>
              </w:rPr>
              <w:t>ies</w:t>
            </w: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团结友爱</w:t>
            </w:r>
          </w:p>
          <w:p>
            <w:pPr>
              <w:jc w:val="center"/>
              <w:rPr>
                <w:rFonts w:hint="eastAsia" w:ascii="仿宋" w:hAnsi="仿宋" w:eastAsia="仿宋"/>
                <w:color w:val="auto"/>
                <w:sz w:val="24"/>
              </w:rPr>
            </w:pPr>
            <w:r>
              <w:rPr>
                <w:rFonts w:hint="eastAsia" w:ascii="仿宋" w:hAnsi="仿宋" w:eastAsia="仿宋"/>
                <w:color w:val="auto"/>
                <w:sz w:val="24"/>
              </w:rPr>
              <w:t>Solidarity and Friendship</w:t>
            </w:r>
          </w:p>
        </w:tc>
      </w:tr>
      <w:tr>
        <w:trPr>
          <w:trHeight w:val="946"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真诚正直善良</w:t>
            </w:r>
          </w:p>
          <w:p>
            <w:pPr>
              <w:jc w:val="center"/>
              <w:rPr>
                <w:rFonts w:hint="eastAsia" w:ascii="仿宋" w:hAnsi="仿宋" w:eastAsia="仿宋"/>
                <w:color w:val="auto"/>
                <w:sz w:val="24"/>
              </w:rPr>
            </w:pPr>
            <w:r>
              <w:rPr>
                <w:rFonts w:hint="eastAsia" w:ascii="仿宋" w:hAnsi="仿宋" w:eastAsia="仿宋"/>
                <w:color w:val="auto"/>
                <w:sz w:val="24"/>
              </w:rPr>
              <w:t>Being</w:t>
            </w:r>
            <w:r>
              <w:rPr>
                <w:rFonts w:eastAsia="仿宋" w:cs="Calibri"/>
                <w:color w:val="auto"/>
                <w:sz w:val="24"/>
              </w:rPr>
              <w:t> </w:t>
            </w:r>
            <w:r>
              <w:rPr>
                <w:rFonts w:ascii="仿宋" w:hAnsi="仿宋" w:eastAsia="仿宋"/>
                <w:color w:val="auto"/>
                <w:sz w:val="24"/>
              </w:rPr>
              <w:t>Sincere、Integral and Kind-hearted</w:t>
            </w:r>
          </w:p>
        </w:tc>
      </w:tr>
      <w:tr>
        <w:trPr>
          <w:trHeight w:val="634"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谦和包容</w:t>
            </w:r>
          </w:p>
          <w:p>
            <w:pPr>
              <w:jc w:val="center"/>
              <w:rPr>
                <w:rFonts w:hint="eastAsia" w:ascii="仿宋" w:hAnsi="仿宋" w:eastAsia="仿宋"/>
                <w:color w:val="auto"/>
                <w:sz w:val="24"/>
              </w:rPr>
            </w:pPr>
            <w:r>
              <w:rPr>
                <w:rFonts w:hint="eastAsia" w:ascii="仿宋" w:hAnsi="仿宋" w:eastAsia="仿宋"/>
                <w:color w:val="auto"/>
                <w:sz w:val="24"/>
              </w:rPr>
              <w:t>Being Modest and Tolerant</w:t>
            </w:r>
          </w:p>
        </w:tc>
      </w:tr>
      <w:tr>
        <w:trPr>
          <w:trHeight w:val="946"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自爱自强</w:t>
            </w:r>
          </w:p>
          <w:p>
            <w:pPr>
              <w:jc w:val="center"/>
              <w:rPr>
                <w:rFonts w:hint="eastAsia" w:ascii="仿宋" w:hAnsi="仿宋" w:eastAsia="仿宋"/>
                <w:color w:val="auto"/>
                <w:sz w:val="24"/>
              </w:rPr>
            </w:pPr>
            <w:r>
              <w:rPr>
                <w:rFonts w:hint="eastAsia" w:ascii="仿宋" w:hAnsi="仿宋" w:eastAsia="仿宋"/>
                <w:color w:val="auto"/>
                <w:sz w:val="24"/>
              </w:rPr>
              <w:t>Being Self-respect and Self-</w:t>
            </w:r>
            <w:r>
              <w:rPr>
                <w:rFonts w:ascii="仿宋" w:hAnsi="仿宋" w:eastAsia="仿宋"/>
                <w:color w:val="auto"/>
                <w:sz w:val="24"/>
              </w:rPr>
              <w:t>strengthening</w:t>
            </w:r>
          </w:p>
        </w:tc>
      </w:tr>
      <w:tr>
        <w:trPr>
          <w:trHeight w:val="634"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感恩之心</w:t>
            </w:r>
          </w:p>
          <w:p>
            <w:pPr>
              <w:jc w:val="center"/>
              <w:rPr>
                <w:rFonts w:hint="eastAsia" w:ascii="仿宋" w:hAnsi="仿宋" w:eastAsia="仿宋"/>
                <w:color w:val="auto"/>
                <w:sz w:val="24"/>
              </w:rPr>
            </w:pPr>
            <w:r>
              <w:rPr>
                <w:rFonts w:hint="eastAsia" w:ascii="仿宋" w:hAnsi="仿宋" w:eastAsia="仿宋"/>
                <w:color w:val="auto"/>
                <w:sz w:val="24"/>
              </w:rPr>
              <w:t xml:space="preserve">Being </w:t>
            </w:r>
            <w:r>
              <w:rPr>
                <w:rFonts w:ascii="仿宋" w:hAnsi="仿宋" w:eastAsia="仿宋"/>
                <w:color w:val="auto"/>
                <w:sz w:val="24"/>
              </w:rPr>
              <w:t>G</w:t>
            </w:r>
            <w:r>
              <w:rPr>
                <w:rFonts w:hint="eastAsia" w:ascii="仿宋" w:hAnsi="仿宋" w:eastAsia="仿宋"/>
                <w:color w:val="auto"/>
                <w:sz w:val="24"/>
              </w:rPr>
              <w:t>rateful</w:t>
            </w:r>
          </w:p>
        </w:tc>
      </w:tr>
      <w:tr>
        <w:trPr>
          <w:trHeight w:val="1013"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见义勇为</w:t>
            </w:r>
          </w:p>
          <w:p>
            <w:pPr>
              <w:jc w:val="center"/>
              <w:rPr>
                <w:rFonts w:hint="eastAsia" w:ascii="仿宋" w:hAnsi="仿宋" w:eastAsia="仿宋"/>
                <w:color w:val="auto"/>
                <w:sz w:val="24"/>
              </w:rPr>
            </w:pPr>
            <w:r>
              <w:rPr>
                <w:rFonts w:ascii="仿宋" w:hAnsi="仿宋" w:eastAsia="仿宋"/>
                <w:color w:val="auto"/>
                <w:sz w:val="24"/>
              </w:rPr>
              <w:t>Acting Bravely for a Just Cause</w:t>
            </w:r>
          </w:p>
        </w:tc>
      </w:tr>
      <w:tr>
        <w:trPr>
          <w:trHeight w:val="634"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严谨踏实</w:t>
            </w:r>
          </w:p>
          <w:p>
            <w:pPr>
              <w:jc w:val="center"/>
              <w:rPr>
                <w:rFonts w:hint="eastAsia" w:ascii="仿宋" w:hAnsi="仿宋" w:eastAsia="仿宋"/>
                <w:color w:val="auto"/>
                <w:sz w:val="24"/>
              </w:rPr>
            </w:pPr>
            <w:r>
              <w:rPr>
                <w:rFonts w:hint="eastAsia" w:ascii="仿宋" w:hAnsi="仿宋" w:eastAsia="仿宋"/>
                <w:color w:val="auto"/>
                <w:sz w:val="24"/>
              </w:rPr>
              <w:t>Being Rigorous and Practical</w:t>
            </w:r>
          </w:p>
        </w:tc>
      </w:tr>
      <w:tr>
        <w:trPr>
          <w:trHeight w:val="634" w:hRule="atLeast"/>
        </w:trPr>
        <w:tc>
          <w:tcPr>
            <w:tcW w:w="73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热爱劳动</w:t>
            </w:r>
          </w:p>
          <w:p>
            <w:pPr>
              <w:jc w:val="center"/>
              <w:rPr>
                <w:rFonts w:hint="eastAsia" w:ascii="仿宋" w:hAnsi="仿宋" w:eastAsia="仿宋"/>
                <w:color w:val="auto"/>
                <w:sz w:val="24"/>
              </w:rPr>
            </w:pPr>
            <w:r>
              <w:rPr>
                <w:rFonts w:hint="eastAsia" w:ascii="仿宋" w:hAnsi="仿宋" w:eastAsia="仿宋"/>
                <w:color w:val="auto"/>
                <w:sz w:val="24"/>
              </w:rPr>
              <w:t>Willingness to work</w:t>
            </w:r>
          </w:p>
        </w:tc>
      </w:tr>
      <w:tr>
        <w:trPr>
          <w:trHeight w:val="654" w:hRule="atLeast"/>
        </w:trPr>
        <w:tc>
          <w:tcPr>
            <w:tcW w:w="733" w:type="pct"/>
            <w:vMerge w:val="restart"/>
            <w:tcBorders>
              <w:top w:val="single" w:color="auto" w:sz="8" w:space="0"/>
              <w:left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“能”</w:t>
            </w:r>
          </w:p>
          <w:p>
            <w:pPr>
              <w:jc w:val="center"/>
              <w:rPr>
                <w:rFonts w:hint="eastAsia" w:ascii="仿宋" w:hAnsi="仿宋" w:eastAsia="仿宋"/>
                <w:color w:val="auto"/>
                <w:sz w:val="24"/>
              </w:rPr>
            </w:pPr>
            <w:r>
              <w:rPr>
                <w:rFonts w:hint="eastAsia" w:ascii="仿宋" w:hAnsi="仿宋" w:eastAsia="仿宋"/>
                <w:color w:val="auto"/>
                <w:sz w:val="24"/>
              </w:rPr>
              <w:t>All-round Capability</w:t>
            </w:r>
          </w:p>
        </w:tc>
        <w:tc>
          <w:tcPr>
            <w:tcW w:w="1402" w:type="pct"/>
            <w:vMerge w:val="restart"/>
            <w:tcBorders>
              <w:top w:val="single" w:color="auto" w:sz="8" w:space="0"/>
              <w:left w:val="single" w:color="auto" w:sz="8" w:space="0"/>
              <w:right w:val="single" w:color="auto"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color w:val="auto"/>
                <w:sz w:val="24"/>
              </w:rPr>
              <w:t>分析与创造性思维</w:t>
            </w:r>
          </w:p>
          <w:p>
            <w:pPr>
              <w:jc w:val="center"/>
              <w:rPr>
                <w:rFonts w:hint="eastAsia" w:ascii="仿宋" w:hAnsi="仿宋" w:eastAsia="仿宋"/>
                <w:color w:val="auto"/>
                <w:sz w:val="24"/>
              </w:rPr>
            </w:pPr>
            <w:r>
              <w:rPr>
                <w:rFonts w:hint="eastAsia" w:ascii="仿宋" w:hAnsi="仿宋" w:eastAsia="仿宋"/>
                <w:color w:val="auto"/>
                <w:sz w:val="24"/>
              </w:rPr>
              <w:t>Analytical and Creative Thinking</w:t>
            </w: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批判性思维</w:t>
            </w:r>
          </w:p>
          <w:p>
            <w:pPr>
              <w:jc w:val="center"/>
              <w:rPr>
                <w:rFonts w:hint="eastAsia" w:ascii="仿宋" w:hAnsi="仿宋" w:eastAsia="仿宋"/>
                <w:color w:val="auto"/>
                <w:sz w:val="24"/>
              </w:rPr>
            </w:pPr>
            <w:r>
              <w:rPr>
                <w:rFonts w:hint="eastAsia" w:ascii="仿宋" w:hAnsi="仿宋" w:eastAsia="仿宋"/>
                <w:color w:val="auto"/>
                <w:sz w:val="24"/>
              </w:rPr>
              <w:t>Critical Thinking</w:t>
            </w:r>
          </w:p>
        </w:tc>
      </w:tr>
      <w:tr>
        <w:trPr>
          <w:trHeight w:val="654" w:hRule="atLeast"/>
        </w:trPr>
        <w:tc>
          <w:tcPr>
            <w:tcW w:w="733"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好奇心与想象力</w:t>
            </w:r>
          </w:p>
          <w:p>
            <w:pPr>
              <w:jc w:val="center"/>
              <w:rPr>
                <w:rFonts w:hint="eastAsia" w:ascii="仿宋" w:hAnsi="仿宋" w:eastAsia="仿宋"/>
                <w:color w:val="auto"/>
                <w:sz w:val="24"/>
              </w:rPr>
            </w:pPr>
            <w:r>
              <w:rPr>
                <w:rFonts w:hint="eastAsia" w:ascii="仿宋" w:hAnsi="仿宋" w:eastAsia="仿宋"/>
                <w:color w:val="auto"/>
                <w:sz w:val="24"/>
              </w:rPr>
              <w:t>Curiosity and Imagination</w:t>
            </w:r>
          </w:p>
        </w:tc>
      </w:tr>
      <w:tr>
        <w:trPr>
          <w:trHeight w:val="634" w:hRule="atLeast"/>
        </w:trPr>
        <w:tc>
          <w:tcPr>
            <w:tcW w:w="733"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主动探索</w:t>
            </w:r>
          </w:p>
          <w:p>
            <w:pPr>
              <w:jc w:val="center"/>
              <w:rPr>
                <w:rFonts w:hint="eastAsia" w:ascii="仿宋" w:hAnsi="仿宋" w:eastAsia="仿宋"/>
                <w:color w:val="auto"/>
                <w:sz w:val="24"/>
              </w:rPr>
            </w:pPr>
            <w:r>
              <w:rPr>
                <w:rFonts w:hint="eastAsia" w:ascii="仿宋" w:hAnsi="仿宋" w:eastAsia="仿宋"/>
                <w:color w:val="auto"/>
                <w:sz w:val="24"/>
              </w:rPr>
              <w:t>Active Exploration</w:t>
            </w:r>
          </w:p>
        </w:tc>
      </w:tr>
      <w:tr>
        <w:trPr>
          <w:trHeight w:val="946" w:hRule="atLeast"/>
        </w:trPr>
        <w:tc>
          <w:tcPr>
            <w:tcW w:w="733"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搜集与分析信息</w:t>
            </w:r>
          </w:p>
          <w:p>
            <w:pPr>
              <w:jc w:val="center"/>
              <w:rPr>
                <w:rFonts w:hint="eastAsia" w:ascii="仿宋" w:hAnsi="仿宋" w:eastAsia="仿宋"/>
                <w:color w:val="auto"/>
                <w:sz w:val="24"/>
              </w:rPr>
            </w:pPr>
            <w:r>
              <w:rPr>
                <w:rFonts w:hint="eastAsia" w:ascii="仿宋" w:hAnsi="仿宋" w:eastAsia="仿宋"/>
                <w:color w:val="auto"/>
                <w:sz w:val="24"/>
              </w:rPr>
              <w:t xml:space="preserve">Collecting and </w:t>
            </w:r>
            <w:r>
              <w:rPr>
                <w:rFonts w:ascii="仿宋" w:hAnsi="仿宋" w:eastAsia="仿宋"/>
                <w:color w:val="auto"/>
                <w:sz w:val="24"/>
              </w:rPr>
              <w:t>A</w:t>
            </w:r>
            <w:r>
              <w:rPr>
                <w:rFonts w:hint="eastAsia" w:ascii="仿宋" w:hAnsi="仿宋" w:eastAsia="仿宋"/>
                <w:color w:val="auto"/>
                <w:sz w:val="24"/>
              </w:rPr>
              <w:t>nalyzing</w:t>
            </w:r>
            <w:r>
              <w:rPr>
                <w:rFonts w:eastAsia="仿宋" w:cs="Calibri"/>
                <w:color w:val="auto"/>
                <w:sz w:val="24"/>
              </w:rPr>
              <w:t> </w:t>
            </w:r>
            <w:r>
              <w:rPr>
                <w:rFonts w:hint="eastAsia" w:ascii="仿宋" w:hAnsi="仿宋" w:eastAsia="仿宋"/>
                <w:color w:val="auto"/>
                <w:sz w:val="24"/>
              </w:rPr>
              <w:t>Information</w:t>
            </w:r>
          </w:p>
        </w:tc>
      </w:tr>
      <w:tr>
        <w:trPr>
          <w:trHeight w:val="656" w:hRule="atLeast"/>
        </w:trPr>
        <w:tc>
          <w:tcPr>
            <w:tcW w:w="733"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发现、提出与解决问题</w:t>
            </w:r>
          </w:p>
          <w:p>
            <w:pPr>
              <w:jc w:val="center"/>
              <w:rPr>
                <w:rFonts w:hint="eastAsia" w:ascii="仿宋" w:hAnsi="仿宋" w:eastAsia="仿宋"/>
                <w:color w:val="auto"/>
                <w:sz w:val="24"/>
              </w:rPr>
            </w:pPr>
            <w:r>
              <w:rPr>
                <w:rFonts w:hint="eastAsia" w:ascii="仿宋" w:hAnsi="仿宋" w:eastAsia="仿宋"/>
                <w:color w:val="auto"/>
                <w:sz w:val="24"/>
              </w:rPr>
              <w:t>Finding</w:t>
            </w:r>
            <w:r>
              <w:rPr>
                <w:rFonts w:ascii="仿宋" w:hAnsi="仿宋" w:eastAsia="仿宋"/>
                <w:color w:val="auto"/>
                <w:sz w:val="24"/>
              </w:rPr>
              <w:t xml:space="preserve">, </w:t>
            </w:r>
            <w:r>
              <w:rPr>
                <w:rFonts w:hint="eastAsia" w:ascii="仿宋" w:hAnsi="仿宋" w:eastAsia="仿宋"/>
                <w:color w:val="auto"/>
                <w:sz w:val="24"/>
              </w:rPr>
              <w:t>Proposin</w:t>
            </w:r>
            <w:r>
              <w:rPr>
                <w:rFonts w:ascii="仿宋" w:hAnsi="仿宋" w:eastAsia="仿宋"/>
                <w:color w:val="auto"/>
                <w:sz w:val="24"/>
              </w:rPr>
              <w:t>g and</w:t>
            </w:r>
            <w:r>
              <w:rPr>
                <w:rFonts w:hint="eastAsia" w:ascii="仿宋" w:hAnsi="仿宋" w:eastAsia="仿宋"/>
                <w:color w:val="auto"/>
                <w:sz w:val="24"/>
              </w:rPr>
              <w:t xml:space="preserve"> Solving</w:t>
            </w:r>
            <w:r>
              <w:rPr>
                <w:rFonts w:ascii="仿宋" w:hAnsi="仿宋" w:eastAsia="仿宋"/>
                <w:color w:val="auto"/>
                <w:sz w:val="24"/>
              </w:rPr>
              <w:t xml:space="preserve"> </w:t>
            </w:r>
            <w:r>
              <w:rPr>
                <w:rFonts w:hint="eastAsia" w:ascii="仿宋" w:hAnsi="仿宋" w:eastAsia="仿宋"/>
                <w:color w:val="auto"/>
                <w:sz w:val="24"/>
              </w:rPr>
              <w:t>Problems</w:t>
            </w:r>
          </w:p>
        </w:tc>
      </w:tr>
      <w:tr>
        <w:trPr>
          <w:trHeight w:val="954" w:hRule="atLeast"/>
        </w:trPr>
        <w:tc>
          <w:tcPr>
            <w:tcW w:w="733" w:type="pct"/>
            <w:vMerge w:val="continue"/>
            <w:tcBorders>
              <w:left w:val="single" w:color="auto" w:sz="8" w:space="0"/>
              <w:bottom w:val="single" w:color="auto" w:sz="4"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left w:val="single" w:color="auto" w:sz="8" w:space="0"/>
              <w:bottom w:val="single" w:color="auto" w:sz="4"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4"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知识获取、构建、整合和应用</w:t>
            </w:r>
          </w:p>
          <w:p>
            <w:pPr>
              <w:jc w:val="center"/>
              <w:rPr>
                <w:rFonts w:hint="eastAsia" w:ascii="仿宋" w:hAnsi="仿宋" w:eastAsia="仿宋"/>
                <w:color w:val="auto"/>
                <w:sz w:val="24"/>
              </w:rPr>
            </w:pPr>
            <w:r>
              <w:rPr>
                <w:rFonts w:hint="eastAsia" w:ascii="仿宋" w:hAnsi="仿宋" w:eastAsia="仿宋"/>
                <w:color w:val="auto"/>
                <w:sz w:val="24"/>
              </w:rPr>
              <w:t>Knowledge Acquisition, Construction, Integration and Application</w:t>
            </w:r>
          </w:p>
        </w:tc>
      </w:tr>
      <w:tr>
        <w:trPr>
          <w:trHeight w:val="932" w:hRule="atLeast"/>
        </w:trPr>
        <w:tc>
          <w:tcPr>
            <w:tcW w:w="733" w:type="pct"/>
            <w:vMerge w:val="continue"/>
            <w:tcBorders>
              <w:top w:val="single" w:color="auto" w:sz="4" w:space="0"/>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top w:val="single" w:color="auto" w:sz="4" w:space="0"/>
              <w:left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4"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推理、判断、反思</w:t>
            </w:r>
          </w:p>
          <w:p>
            <w:pPr>
              <w:jc w:val="center"/>
              <w:rPr>
                <w:rFonts w:hint="eastAsia" w:ascii="仿宋" w:hAnsi="仿宋" w:eastAsia="仿宋"/>
                <w:color w:val="auto"/>
                <w:sz w:val="24"/>
              </w:rPr>
            </w:pPr>
            <w:r>
              <w:rPr>
                <w:rFonts w:hint="eastAsia" w:ascii="仿宋" w:hAnsi="仿宋" w:eastAsia="仿宋"/>
                <w:color w:val="auto"/>
                <w:sz w:val="24"/>
              </w:rPr>
              <w:t>Reasoning, Judgement, Reflection</w:t>
            </w:r>
          </w:p>
        </w:tc>
      </w:tr>
      <w:tr>
        <w:trPr>
          <w:trHeight w:val="679" w:hRule="atLeast"/>
        </w:trPr>
        <w:tc>
          <w:tcPr>
            <w:tcW w:w="733" w:type="pct"/>
            <w:vMerge w:val="continue"/>
            <w:tcBorders>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1402" w:type="pct"/>
            <w:vMerge w:val="continue"/>
            <w:tcBorders>
              <w:left w:val="single" w:color="auto" w:sz="8" w:space="0"/>
              <w:bottom w:val="single" w:color="auto" w:sz="8" w:space="0"/>
              <w:right w:val="single" w:color="auto" w:sz="8" w:space="0"/>
            </w:tcBorders>
            <w:noWrap w:val="0"/>
            <w:tcMar>
              <w:top w:w="10" w:type="dxa"/>
              <w:left w:w="10" w:type="dxa"/>
              <w:right w:w="10" w:type="dxa"/>
            </w:tcMar>
            <w:vAlign w:val="center"/>
          </w:tcPr>
          <w:p>
            <w:pPr>
              <w:rPr>
                <w:rFonts w:hint="eastAsia" w:ascii="仿宋" w:hAnsi="仿宋" w:eastAsia="仿宋"/>
                <w:color w:val="auto"/>
                <w:sz w:val="24"/>
              </w:rPr>
            </w:pPr>
          </w:p>
        </w:tc>
        <w:tc>
          <w:tcPr>
            <w:tcW w:w="2865" w:type="pc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改革求变</w:t>
            </w:r>
          </w:p>
          <w:p>
            <w:pPr>
              <w:jc w:val="center"/>
              <w:rPr>
                <w:rFonts w:hint="eastAsia" w:ascii="仿宋" w:hAnsi="仿宋" w:eastAsia="仿宋"/>
                <w:color w:val="auto"/>
                <w:sz w:val="24"/>
              </w:rPr>
            </w:pPr>
            <w:r>
              <w:rPr>
                <w:rFonts w:hint="eastAsia" w:ascii="仿宋" w:hAnsi="仿宋" w:eastAsia="仿宋"/>
                <w:color w:val="auto"/>
                <w:sz w:val="24"/>
              </w:rPr>
              <w:t>Reform and Innovation</w:t>
            </w:r>
          </w:p>
        </w:tc>
      </w:tr>
    </w:tbl>
    <w:p>
      <w:pPr>
        <w:rPr>
          <w:color w:val="auto"/>
        </w:rPr>
      </w:pPr>
    </w:p>
    <w:tbl>
      <w:tblPr>
        <w:tblStyle w:val="3"/>
        <w:tblW w:w="4998" w:type="pct"/>
        <w:tblInd w:w="0" w:type="dxa"/>
        <w:tblLayout w:type="autofit"/>
        <w:tblCellMar>
          <w:top w:w="0" w:type="dxa"/>
          <w:left w:w="0" w:type="dxa"/>
          <w:bottom w:w="0" w:type="dxa"/>
          <w:right w:w="0" w:type="dxa"/>
        </w:tblCellMar>
      </w:tblPr>
      <w:tblGrid>
        <w:gridCol w:w="1220"/>
        <w:gridCol w:w="2334"/>
        <w:gridCol w:w="4769"/>
      </w:tblGrid>
      <w:tr>
        <w:trPr>
          <w:trHeight w:val="300" w:hRule="atLeast"/>
        </w:trPr>
        <w:tc>
          <w:tcPr>
            <w:tcW w:w="733"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b/>
                <w:bCs/>
                <w:color w:val="auto"/>
                <w:sz w:val="24"/>
              </w:rPr>
              <w:t>一级指标</w:t>
            </w:r>
          </w:p>
        </w:tc>
        <w:tc>
          <w:tcPr>
            <w:tcW w:w="1402"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b/>
                <w:bCs/>
                <w:color w:val="auto"/>
                <w:sz w:val="24"/>
              </w:rPr>
              <w:t>二级指标</w:t>
            </w:r>
          </w:p>
        </w:tc>
        <w:tc>
          <w:tcPr>
            <w:tcW w:w="2865" w:type="pct"/>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b/>
                <w:bCs/>
                <w:color w:val="auto"/>
                <w:sz w:val="24"/>
              </w:rPr>
              <w:t>三级指标</w:t>
            </w:r>
          </w:p>
        </w:tc>
      </w:tr>
      <w:tr>
        <w:trPr>
          <w:trHeight w:val="634" w:hRule="atLeast"/>
        </w:trPr>
        <w:tc>
          <w:tcPr>
            <w:tcW w:w="733" w:type="pct"/>
            <w:vMerge w:val="restart"/>
            <w:tcBorders>
              <w:top w:val="single" w:color="auto" w:sz="8" w:space="0"/>
              <w:left w:val="single" w:color="000000"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“能”</w:t>
            </w:r>
          </w:p>
          <w:p>
            <w:pPr>
              <w:jc w:val="center"/>
              <w:rPr>
                <w:rFonts w:hint="eastAsia" w:ascii="仿宋" w:hAnsi="仿宋" w:eastAsia="仿宋"/>
                <w:color w:val="auto"/>
                <w:sz w:val="24"/>
              </w:rPr>
            </w:pPr>
            <w:r>
              <w:rPr>
                <w:rFonts w:hint="eastAsia" w:ascii="仿宋" w:hAnsi="仿宋" w:eastAsia="仿宋"/>
                <w:color w:val="auto"/>
                <w:sz w:val="24"/>
              </w:rPr>
              <w:t>All-round Capability</w:t>
            </w:r>
          </w:p>
        </w:tc>
        <w:tc>
          <w:tcPr>
            <w:tcW w:w="1402" w:type="pct"/>
            <w:vMerge w:val="restart"/>
            <w:tcBorders>
              <w:top w:val="single" w:color="auto" w:sz="8" w:space="0"/>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color w:val="auto"/>
                <w:sz w:val="24"/>
              </w:rPr>
              <w:t>团队协作与领导力</w:t>
            </w:r>
            <w:r>
              <w:rPr>
                <w:rFonts w:hint="eastAsia" w:ascii="仿宋" w:hAnsi="仿宋" w:eastAsia="仿宋"/>
                <w:color w:val="auto"/>
                <w:sz w:val="24"/>
              </w:rPr>
              <w:br w:type="textWrapping"/>
            </w:r>
            <w:r>
              <w:rPr>
                <w:rFonts w:hint="eastAsia" w:ascii="仿宋" w:hAnsi="仿宋" w:eastAsia="仿宋"/>
                <w:color w:val="auto"/>
                <w:sz w:val="24"/>
              </w:rPr>
              <w:t>Teamwork and Leadership</w:t>
            </w: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沟通交流</w:t>
            </w:r>
          </w:p>
          <w:p>
            <w:pPr>
              <w:jc w:val="center"/>
              <w:rPr>
                <w:rFonts w:hint="eastAsia" w:ascii="仿宋" w:hAnsi="仿宋" w:eastAsia="仿宋"/>
                <w:color w:val="auto"/>
                <w:sz w:val="24"/>
              </w:rPr>
            </w:pPr>
            <w:r>
              <w:rPr>
                <w:rFonts w:hint="eastAsia" w:ascii="仿宋" w:hAnsi="仿宋" w:eastAsia="仿宋"/>
                <w:color w:val="auto"/>
                <w:sz w:val="24"/>
              </w:rPr>
              <w:t>Communication</w:t>
            </w:r>
          </w:p>
        </w:tc>
      </w:tr>
      <w:tr>
        <w:trPr>
          <w:trHeight w:val="65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口头与书面表达</w:t>
            </w:r>
          </w:p>
          <w:p>
            <w:pPr>
              <w:jc w:val="center"/>
              <w:rPr>
                <w:rFonts w:hint="eastAsia" w:ascii="仿宋" w:hAnsi="仿宋" w:eastAsia="仿宋"/>
                <w:color w:val="auto"/>
                <w:sz w:val="24"/>
              </w:rPr>
            </w:pPr>
            <w:r>
              <w:rPr>
                <w:rFonts w:hint="eastAsia" w:ascii="仿宋" w:hAnsi="仿宋" w:eastAsia="仿宋"/>
                <w:color w:val="auto"/>
                <w:sz w:val="24"/>
              </w:rPr>
              <w:t xml:space="preserve">Oral and </w:t>
            </w:r>
            <w:r>
              <w:rPr>
                <w:rFonts w:ascii="仿宋" w:hAnsi="仿宋" w:eastAsia="仿宋"/>
                <w:color w:val="auto"/>
                <w:sz w:val="24"/>
              </w:rPr>
              <w:t>W</w:t>
            </w:r>
            <w:r>
              <w:rPr>
                <w:rFonts w:hint="eastAsia" w:ascii="仿宋" w:hAnsi="仿宋" w:eastAsia="仿宋"/>
                <w:color w:val="auto"/>
                <w:sz w:val="24"/>
              </w:rPr>
              <w:t xml:space="preserve">ritten </w:t>
            </w:r>
            <w:r>
              <w:rPr>
                <w:rFonts w:ascii="仿宋" w:hAnsi="仿宋" w:eastAsia="仿宋"/>
                <w:color w:val="auto"/>
                <w:sz w:val="24"/>
              </w:rPr>
              <w:t>E</w:t>
            </w:r>
            <w:r>
              <w:rPr>
                <w:rFonts w:hint="eastAsia" w:ascii="仿宋" w:hAnsi="仿宋" w:eastAsia="仿宋"/>
                <w:color w:val="auto"/>
                <w:sz w:val="24"/>
              </w:rPr>
              <w:t>xpressions</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集体效能</w:t>
            </w:r>
          </w:p>
          <w:p>
            <w:pPr>
              <w:jc w:val="center"/>
              <w:rPr>
                <w:rFonts w:hint="eastAsia" w:ascii="仿宋" w:hAnsi="仿宋" w:eastAsia="仿宋"/>
                <w:color w:val="auto"/>
                <w:sz w:val="24"/>
              </w:rPr>
            </w:pPr>
            <w:r>
              <w:rPr>
                <w:rFonts w:hint="eastAsia" w:ascii="仿宋" w:hAnsi="仿宋" w:eastAsia="仿宋"/>
                <w:color w:val="auto"/>
                <w:sz w:val="24"/>
              </w:rPr>
              <w:t>Collective Efficacy</w:t>
            </w:r>
          </w:p>
        </w:tc>
      </w:tr>
      <w:tr>
        <w:trPr>
          <w:trHeight w:val="65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人际关系</w:t>
            </w:r>
          </w:p>
          <w:p>
            <w:pPr>
              <w:jc w:val="center"/>
              <w:rPr>
                <w:rFonts w:hint="eastAsia" w:ascii="仿宋" w:hAnsi="仿宋" w:eastAsia="仿宋"/>
                <w:color w:val="auto"/>
                <w:sz w:val="24"/>
              </w:rPr>
            </w:pPr>
            <w:r>
              <w:rPr>
                <w:rFonts w:hint="eastAsia" w:ascii="仿宋" w:hAnsi="仿宋" w:eastAsia="仿宋"/>
                <w:color w:val="auto"/>
                <w:sz w:val="24"/>
              </w:rPr>
              <w:t>Interpersonal Relationship</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同理心</w:t>
            </w:r>
          </w:p>
          <w:p>
            <w:pPr>
              <w:jc w:val="center"/>
              <w:rPr>
                <w:rFonts w:hint="eastAsia" w:ascii="仿宋" w:hAnsi="仿宋" w:eastAsia="仿宋"/>
                <w:color w:val="auto"/>
                <w:sz w:val="24"/>
              </w:rPr>
            </w:pPr>
            <w:r>
              <w:rPr>
                <w:rFonts w:hint="eastAsia" w:ascii="仿宋" w:hAnsi="仿宋" w:eastAsia="仿宋"/>
                <w:color w:val="auto"/>
                <w:sz w:val="24"/>
              </w:rPr>
              <w:t>Empathy</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执行力</w:t>
            </w:r>
          </w:p>
          <w:p>
            <w:pPr>
              <w:jc w:val="center"/>
              <w:rPr>
                <w:rFonts w:hint="eastAsia" w:ascii="仿宋" w:hAnsi="仿宋" w:eastAsia="仿宋"/>
                <w:color w:val="auto"/>
                <w:sz w:val="24"/>
              </w:rPr>
            </w:pPr>
            <w:r>
              <w:rPr>
                <w:rFonts w:hint="eastAsia" w:ascii="仿宋" w:hAnsi="仿宋" w:eastAsia="仿宋"/>
                <w:color w:val="auto"/>
                <w:sz w:val="24"/>
              </w:rPr>
              <w:t>Executi</w:t>
            </w:r>
            <w:r>
              <w:rPr>
                <w:rFonts w:ascii="仿宋" w:hAnsi="仿宋" w:eastAsia="仿宋"/>
                <w:color w:val="auto"/>
                <w:sz w:val="24"/>
              </w:rPr>
              <w:t>ve Power</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合作共赢</w:t>
            </w:r>
          </w:p>
          <w:p>
            <w:pPr>
              <w:jc w:val="center"/>
              <w:rPr>
                <w:rFonts w:hint="eastAsia" w:ascii="仿宋" w:hAnsi="仿宋" w:eastAsia="仿宋"/>
                <w:color w:val="auto"/>
                <w:sz w:val="24"/>
              </w:rPr>
            </w:pPr>
            <w:r>
              <w:rPr>
                <w:rFonts w:hint="eastAsia" w:ascii="仿宋" w:hAnsi="仿宋" w:eastAsia="仿宋"/>
                <w:color w:val="auto"/>
                <w:sz w:val="24"/>
              </w:rPr>
              <w:t>Win-win Cooperation</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解决冲突</w:t>
            </w:r>
          </w:p>
          <w:p>
            <w:pPr>
              <w:jc w:val="center"/>
              <w:rPr>
                <w:rFonts w:hint="eastAsia" w:ascii="仿宋" w:hAnsi="仿宋" w:eastAsia="仿宋"/>
                <w:color w:val="auto"/>
                <w:sz w:val="24"/>
              </w:rPr>
            </w:pPr>
            <w:r>
              <w:rPr>
                <w:rFonts w:hint="eastAsia" w:ascii="仿宋" w:hAnsi="仿宋" w:eastAsia="仿宋"/>
                <w:color w:val="auto"/>
                <w:sz w:val="24"/>
              </w:rPr>
              <w:t>Resolving Conflicts</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承担与管控风险</w:t>
            </w:r>
          </w:p>
          <w:p>
            <w:pPr>
              <w:jc w:val="center"/>
              <w:rPr>
                <w:rFonts w:hint="eastAsia" w:ascii="仿宋" w:hAnsi="仿宋" w:eastAsia="仿宋"/>
                <w:color w:val="auto"/>
                <w:sz w:val="24"/>
              </w:rPr>
            </w:pPr>
            <w:r>
              <w:rPr>
                <w:rFonts w:hint="eastAsia" w:ascii="仿宋" w:hAnsi="仿宋" w:eastAsia="仿宋"/>
                <w:color w:val="auto"/>
                <w:sz w:val="24"/>
              </w:rPr>
              <w:t>Bearing and Managing Risk</w:t>
            </w:r>
            <w:r>
              <w:rPr>
                <w:rFonts w:ascii="仿宋" w:hAnsi="仿宋" w:eastAsia="仿宋"/>
                <w:color w:val="auto"/>
                <w:sz w:val="24"/>
              </w:rPr>
              <w:t>s</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规划</w:t>
            </w:r>
          </w:p>
          <w:p>
            <w:pPr>
              <w:jc w:val="center"/>
              <w:rPr>
                <w:rFonts w:hint="eastAsia" w:ascii="仿宋" w:hAnsi="仿宋" w:eastAsia="仿宋"/>
                <w:color w:val="auto"/>
                <w:sz w:val="24"/>
              </w:rPr>
            </w:pPr>
            <w:r>
              <w:rPr>
                <w:rFonts w:hint="eastAsia" w:ascii="仿宋" w:hAnsi="仿宋" w:eastAsia="仿宋"/>
                <w:color w:val="auto"/>
                <w:sz w:val="24"/>
              </w:rPr>
              <w:t>Planning</w:t>
            </w:r>
          </w:p>
        </w:tc>
      </w:tr>
      <w:tr>
        <w:trPr>
          <w:trHeight w:val="65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决策力</w:t>
            </w:r>
          </w:p>
          <w:p>
            <w:pPr>
              <w:jc w:val="center"/>
              <w:rPr>
                <w:rFonts w:hint="eastAsia" w:ascii="仿宋" w:hAnsi="仿宋" w:eastAsia="仿宋"/>
                <w:color w:val="auto"/>
                <w:sz w:val="24"/>
              </w:rPr>
            </w:pPr>
            <w:r>
              <w:rPr>
                <w:rFonts w:hint="eastAsia" w:ascii="仿宋" w:hAnsi="仿宋" w:eastAsia="仿宋"/>
                <w:color w:val="auto"/>
                <w:sz w:val="24"/>
              </w:rPr>
              <w:t>Decision-making Ability</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感召力</w:t>
            </w:r>
          </w:p>
          <w:p>
            <w:pPr>
              <w:jc w:val="center"/>
              <w:rPr>
                <w:rFonts w:hint="eastAsia" w:ascii="仿宋" w:hAnsi="仿宋" w:eastAsia="仿宋"/>
                <w:color w:val="auto"/>
                <w:sz w:val="24"/>
              </w:rPr>
            </w:pPr>
            <w:r>
              <w:rPr>
                <w:rFonts w:hint="eastAsia" w:ascii="仿宋" w:hAnsi="仿宋" w:eastAsia="仿宋"/>
                <w:color w:val="auto"/>
                <w:sz w:val="24"/>
              </w:rPr>
              <w:t>Emotional Appeal</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人格魅力</w:t>
            </w:r>
          </w:p>
          <w:p>
            <w:pPr>
              <w:jc w:val="center"/>
              <w:rPr>
                <w:rFonts w:hint="eastAsia" w:ascii="仿宋" w:hAnsi="仿宋" w:eastAsia="仿宋"/>
                <w:color w:val="auto"/>
                <w:sz w:val="24"/>
              </w:rPr>
            </w:pPr>
            <w:r>
              <w:rPr>
                <w:rFonts w:hint="eastAsia" w:ascii="仿宋" w:hAnsi="仿宋" w:eastAsia="仿宋"/>
                <w:color w:val="auto"/>
                <w:sz w:val="24"/>
              </w:rPr>
              <w:t xml:space="preserve">Personal </w:t>
            </w:r>
            <w:r>
              <w:rPr>
                <w:rFonts w:ascii="仿宋" w:hAnsi="仿宋" w:eastAsia="仿宋"/>
                <w:color w:val="auto"/>
                <w:sz w:val="24"/>
              </w:rPr>
              <w:t>Charisma</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top w:val="nil"/>
              <w:left w:val="single" w:color="000000" w:sz="8" w:space="0"/>
              <w:bottom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组织协调能力</w:t>
            </w:r>
          </w:p>
          <w:p>
            <w:pPr>
              <w:jc w:val="center"/>
              <w:rPr>
                <w:rFonts w:hint="eastAsia" w:ascii="仿宋" w:hAnsi="仿宋" w:eastAsia="仿宋"/>
                <w:color w:val="auto"/>
                <w:sz w:val="24"/>
              </w:rPr>
            </w:pPr>
            <w:r>
              <w:rPr>
                <w:rFonts w:hint="eastAsia" w:ascii="仿宋" w:hAnsi="仿宋" w:eastAsia="仿宋"/>
                <w:color w:val="auto"/>
                <w:sz w:val="24"/>
              </w:rPr>
              <w:t>Organiz</w:t>
            </w:r>
            <w:r>
              <w:rPr>
                <w:rFonts w:ascii="仿宋" w:hAnsi="仿宋" w:eastAsia="仿宋"/>
                <w:color w:val="auto"/>
                <w:sz w:val="24"/>
              </w:rPr>
              <w:t>ing and</w:t>
            </w:r>
            <w:r>
              <w:rPr>
                <w:rFonts w:hint="eastAsia" w:ascii="仿宋" w:hAnsi="仿宋" w:eastAsia="仿宋"/>
                <w:color w:val="auto"/>
                <w:sz w:val="24"/>
              </w:rPr>
              <w:t xml:space="preserve"> Coordinati</w:t>
            </w:r>
            <w:r>
              <w:rPr>
                <w:rFonts w:ascii="仿宋" w:hAnsi="仿宋" w:eastAsia="仿宋"/>
                <w:color w:val="auto"/>
                <w:sz w:val="24"/>
              </w:rPr>
              <w:t>ng Ability</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restart"/>
            <w:tcBorders>
              <w:top w:val="nil"/>
              <w:left w:val="nil"/>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r>
              <w:rPr>
                <w:rFonts w:hint="eastAsia" w:ascii="仿宋" w:hAnsi="仿宋" w:eastAsia="仿宋"/>
                <w:color w:val="auto"/>
                <w:sz w:val="24"/>
              </w:rPr>
              <w:t>全球视野与时代素养</w:t>
            </w:r>
          </w:p>
          <w:p>
            <w:pPr>
              <w:jc w:val="center"/>
              <w:rPr>
                <w:rFonts w:hint="eastAsia" w:ascii="仿宋" w:hAnsi="仿宋" w:eastAsia="仿宋"/>
                <w:color w:val="auto"/>
                <w:sz w:val="24"/>
              </w:rPr>
            </w:pPr>
            <w:r>
              <w:rPr>
                <w:rFonts w:hint="eastAsia" w:ascii="仿宋" w:hAnsi="仿宋" w:eastAsia="仿宋"/>
                <w:color w:val="auto"/>
                <w:sz w:val="24"/>
              </w:rPr>
              <w:t>Global Vision and Quality of the Time</w:t>
            </w: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外语能力</w:t>
            </w:r>
          </w:p>
          <w:p>
            <w:pPr>
              <w:jc w:val="center"/>
              <w:rPr>
                <w:rFonts w:hint="eastAsia" w:ascii="仿宋" w:hAnsi="仿宋" w:eastAsia="仿宋"/>
                <w:color w:val="auto"/>
                <w:sz w:val="24"/>
              </w:rPr>
            </w:pPr>
            <w:r>
              <w:rPr>
                <w:rFonts w:hint="eastAsia" w:ascii="仿宋" w:hAnsi="仿宋" w:eastAsia="仿宋"/>
                <w:color w:val="auto"/>
                <w:sz w:val="24"/>
              </w:rPr>
              <w:t>Foreign Language Ability</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left w:val="nil"/>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auto" w:sz="8" w:space="0"/>
              <w:left w:val="nil"/>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国际事务参与</w:t>
            </w:r>
          </w:p>
          <w:p>
            <w:pPr>
              <w:jc w:val="center"/>
              <w:rPr>
                <w:rFonts w:hint="eastAsia" w:ascii="仿宋" w:hAnsi="仿宋" w:eastAsia="仿宋"/>
                <w:color w:val="auto"/>
                <w:sz w:val="24"/>
              </w:rPr>
            </w:pPr>
            <w:r>
              <w:rPr>
                <w:rFonts w:hint="eastAsia" w:ascii="仿宋" w:hAnsi="仿宋" w:eastAsia="仿宋"/>
                <w:color w:val="auto"/>
                <w:sz w:val="24"/>
              </w:rPr>
              <w:t>Participation</w:t>
            </w:r>
            <w:r>
              <w:rPr>
                <w:rFonts w:ascii="仿宋" w:hAnsi="仿宋" w:eastAsia="仿宋"/>
                <w:color w:val="auto"/>
                <w:sz w:val="24"/>
              </w:rPr>
              <w:t xml:space="preserve"> in International Affairs</w:t>
            </w:r>
          </w:p>
        </w:tc>
      </w:tr>
      <w:tr>
        <w:trPr>
          <w:trHeight w:val="1162"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left w:val="nil"/>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关注全球发展与时事动态</w:t>
            </w:r>
          </w:p>
          <w:p>
            <w:pPr>
              <w:jc w:val="center"/>
              <w:rPr>
                <w:rFonts w:hint="eastAsia" w:ascii="仿宋" w:hAnsi="仿宋" w:eastAsia="仿宋"/>
                <w:color w:val="auto"/>
                <w:sz w:val="24"/>
              </w:rPr>
            </w:pPr>
            <w:r>
              <w:rPr>
                <w:rFonts w:hint="eastAsia" w:ascii="仿宋" w:hAnsi="仿宋" w:eastAsia="仿宋"/>
                <w:color w:val="auto"/>
                <w:sz w:val="24"/>
              </w:rPr>
              <w:t>Paying close attention to</w:t>
            </w:r>
            <w:r>
              <w:rPr>
                <w:rFonts w:ascii="仿宋" w:hAnsi="仿宋" w:eastAsia="仿宋"/>
                <w:color w:val="auto"/>
                <w:sz w:val="24"/>
              </w:rPr>
              <w:t xml:space="preserve"> </w:t>
            </w:r>
            <w:r>
              <w:rPr>
                <w:rFonts w:hint="eastAsia" w:ascii="仿宋" w:hAnsi="仿宋" w:eastAsia="仿宋"/>
                <w:color w:val="auto"/>
                <w:sz w:val="24"/>
              </w:rPr>
              <w:t>Global Development and Current Events</w:t>
            </w:r>
          </w:p>
        </w:tc>
      </w:tr>
      <w:tr>
        <w:trPr>
          <w:trHeight w:val="1246" w:hRule="atLeast"/>
        </w:trPr>
        <w:tc>
          <w:tcPr>
            <w:tcW w:w="733" w:type="pct"/>
            <w:vMerge w:val="continue"/>
            <w:tcBorders>
              <w:left w:val="single" w:color="000000" w:sz="8" w:space="0"/>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1402" w:type="pct"/>
            <w:vMerge w:val="continue"/>
            <w:tcBorders>
              <w:left w:val="nil"/>
              <w:bottom w:val="single" w:color="auto" w:sz="8" w:space="0"/>
              <w:right w:val="single" w:color="000000" w:sz="8" w:space="0"/>
            </w:tcBorders>
            <w:noWrap w:val="0"/>
            <w:tcMar>
              <w:top w:w="10" w:type="dxa"/>
              <w:left w:w="10" w:type="dxa"/>
              <w:right w:w="10" w:type="dxa"/>
            </w:tcMar>
            <w:vAlign w:val="center"/>
          </w:tcPr>
          <w:p>
            <w:pPr>
              <w:jc w:val="center"/>
              <w:rPr>
                <w:rFonts w:hint="eastAsia" w:ascii="仿宋" w:hAnsi="仿宋" w:eastAsia="仿宋"/>
                <w:color w:val="auto"/>
                <w:sz w:val="24"/>
              </w:rPr>
            </w:pPr>
          </w:p>
        </w:tc>
        <w:tc>
          <w:tcPr>
            <w:tcW w:w="2865" w:type="pct"/>
            <w:tcBorders>
              <w:top w:val="single" w:color="000000" w:sz="8" w:space="0"/>
              <w:left w:val="nil"/>
              <w:bottom w:val="single" w:color="auto" w:sz="8" w:space="0"/>
              <w:right w:val="single" w:color="000000" w:sz="8" w:space="0"/>
            </w:tcBorders>
            <w:noWrap w:val="0"/>
            <w:tcMar>
              <w:top w:w="10" w:type="dxa"/>
              <w:left w:w="10" w:type="dxa"/>
              <w:right w:w="10" w:type="dxa"/>
            </w:tcMar>
            <w:vAlign w:val="center"/>
          </w:tcPr>
          <w:p>
            <w:pPr>
              <w:jc w:val="center"/>
              <w:rPr>
                <w:rFonts w:ascii="仿宋" w:hAnsi="仿宋" w:eastAsia="仿宋"/>
                <w:color w:val="auto"/>
                <w:sz w:val="24"/>
              </w:rPr>
            </w:pPr>
            <w:r>
              <w:rPr>
                <w:rFonts w:hint="eastAsia" w:ascii="仿宋" w:hAnsi="仿宋" w:eastAsia="仿宋"/>
                <w:color w:val="auto"/>
                <w:sz w:val="24"/>
              </w:rPr>
              <w:t>尊重不同文化习俗</w:t>
            </w:r>
          </w:p>
          <w:p>
            <w:pPr>
              <w:jc w:val="center"/>
              <w:rPr>
                <w:rFonts w:hint="eastAsia" w:ascii="仿宋" w:hAnsi="仿宋" w:eastAsia="仿宋"/>
                <w:color w:val="auto"/>
                <w:sz w:val="24"/>
              </w:rPr>
            </w:pPr>
            <w:r>
              <w:rPr>
                <w:rFonts w:hint="eastAsia" w:ascii="仿宋" w:hAnsi="仿宋" w:eastAsia="仿宋"/>
                <w:color w:val="auto"/>
                <w:sz w:val="24"/>
              </w:rPr>
              <w:t xml:space="preserve">Respecting </w:t>
            </w:r>
            <w:r>
              <w:rPr>
                <w:rFonts w:ascii="仿宋" w:hAnsi="仿宋" w:eastAsia="仿宋"/>
                <w:color w:val="auto"/>
                <w:sz w:val="24"/>
              </w:rPr>
              <w:t>Different Cultures and Customs</w:t>
            </w:r>
          </w:p>
        </w:tc>
      </w:tr>
    </w:tbl>
    <w:p>
      <w:pPr>
        <w:rPr>
          <w:rFonts w:hint="eastAsia"/>
          <w:color w:val="auto"/>
        </w:rPr>
      </w:pPr>
    </w:p>
    <w:tbl>
      <w:tblPr>
        <w:tblStyle w:val="3"/>
        <w:tblW w:w="4998" w:type="pct"/>
        <w:tblInd w:w="0" w:type="dxa"/>
        <w:tblLayout w:type="autofit"/>
        <w:tblCellMar>
          <w:top w:w="0" w:type="dxa"/>
          <w:left w:w="0" w:type="dxa"/>
          <w:bottom w:w="0" w:type="dxa"/>
          <w:right w:w="0" w:type="dxa"/>
        </w:tblCellMar>
      </w:tblPr>
      <w:tblGrid>
        <w:gridCol w:w="1220"/>
        <w:gridCol w:w="2334"/>
        <w:gridCol w:w="4769"/>
      </w:tblGrid>
      <w:tr>
        <w:trPr>
          <w:trHeight w:val="300" w:hRule="atLeast"/>
        </w:trPr>
        <w:tc>
          <w:tcPr>
            <w:tcW w:w="733"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等线" w:hAnsi="等线" w:eastAsia="等线" w:cs="等线"/>
                <w:color w:val="auto"/>
                <w:kern w:val="0"/>
                <w:sz w:val="22"/>
                <w:szCs w:val="22"/>
                <w:lang w:bidi="ar"/>
              </w:rPr>
            </w:pPr>
            <w:r>
              <w:rPr>
                <w:rFonts w:hint="eastAsia" w:ascii="仿宋" w:hAnsi="仿宋" w:eastAsia="仿宋" w:cs="仿宋"/>
                <w:b/>
                <w:bCs/>
                <w:color w:val="auto"/>
                <w:kern w:val="0"/>
                <w:sz w:val="24"/>
                <w:lang w:bidi="ar"/>
              </w:rPr>
              <w:t>一级指标</w:t>
            </w:r>
          </w:p>
        </w:tc>
        <w:tc>
          <w:tcPr>
            <w:tcW w:w="1402"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等线" w:hAnsi="等线" w:eastAsia="等线" w:cs="等线"/>
                <w:color w:val="auto"/>
                <w:kern w:val="0"/>
                <w:sz w:val="22"/>
                <w:szCs w:val="22"/>
                <w:lang w:bidi="ar"/>
              </w:rPr>
            </w:pPr>
            <w:r>
              <w:rPr>
                <w:rFonts w:hint="eastAsia" w:ascii="仿宋" w:hAnsi="仿宋" w:eastAsia="仿宋" w:cs="仿宋"/>
                <w:b/>
                <w:bCs/>
                <w:color w:val="auto"/>
                <w:kern w:val="0"/>
                <w:sz w:val="24"/>
                <w:lang w:bidi="ar"/>
              </w:rPr>
              <w:t>二级指标</w:t>
            </w:r>
          </w:p>
        </w:tc>
        <w:tc>
          <w:tcPr>
            <w:tcW w:w="2865" w:type="pct"/>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b/>
                <w:bCs/>
                <w:color w:val="auto"/>
                <w:kern w:val="0"/>
                <w:sz w:val="24"/>
                <w:lang w:bidi="ar"/>
              </w:rPr>
              <w:t>三级指标</w:t>
            </w:r>
          </w:p>
        </w:tc>
      </w:tr>
      <w:tr>
        <w:trPr>
          <w:trHeight w:val="946" w:hRule="atLeast"/>
        </w:trPr>
        <w:tc>
          <w:tcPr>
            <w:tcW w:w="733" w:type="pct"/>
            <w:vMerge w:val="restart"/>
            <w:tcBorders>
              <w:top w:val="single" w:color="auto" w:sz="8" w:space="0"/>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“能”</w:t>
            </w:r>
          </w:p>
          <w:p>
            <w:pPr>
              <w:widowControl/>
              <w:jc w:val="center"/>
              <w:textAlignment w:val="center"/>
              <w:rPr>
                <w:rFonts w:hint="eastAsia" w:ascii="等线" w:hAnsi="等线" w:eastAsia="等线" w:cs="等线"/>
                <w:color w:val="auto"/>
                <w:sz w:val="22"/>
                <w:szCs w:val="22"/>
              </w:rPr>
            </w:pPr>
            <w:r>
              <w:rPr>
                <w:rFonts w:hint="eastAsia" w:ascii="仿宋" w:hAnsi="仿宋" w:eastAsia="仿宋" w:cs="仿宋"/>
                <w:color w:val="auto"/>
                <w:kern w:val="0"/>
                <w:sz w:val="24"/>
                <w:lang w:bidi="ar"/>
              </w:rPr>
              <w:t>All-round Capability</w:t>
            </w:r>
          </w:p>
        </w:tc>
        <w:tc>
          <w:tcPr>
            <w:tcW w:w="1402" w:type="pct"/>
            <w:vMerge w:val="restar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全球视野与时代素养</w:t>
            </w:r>
          </w:p>
          <w:p>
            <w:pPr>
              <w:widowControl/>
              <w:jc w:val="center"/>
              <w:textAlignment w:val="center"/>
              <w:rPr>
                <w:rFonts w:hint="eastAsia" w:ascii="等线" w:hAnsi="等线" w:eastAsia="等线" w:cs="等线"/>
                <w:color w:val="auto"/>
                <w:sz w:val="22"/>
                <w:szCs w:val="22"/>
              </w:rPr>
            </w:pPr>
            <w:r>
              <w:rPr>
                <w:rFonts w:hint="eastAsia" w:ascii="仿宋" w:hAnsi="仿宋" w:eastAsia="仿宋" w:cs="仿宋"/>
                <w:color w:val="auto"/>
                <w:kern w:val="0"/>
                <w:sz w:val="24"/>
                <w:lang w:bidi="ar"/>
              </w:rPr>
              <w:t>Global Vision and Quality of the Time</w:t>
            </w: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跨文化交流和多元文化学习</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Cross-cultural Communication and Multicultural Learning</w:t>
            </w:r>
          </w:p>
        </w:tc>
      </w:tr>
      <w:tr>
        <w:trPr>
          <w:trHeight w:val="654"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auto" w:sz="4"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开放共享思维</w:t>
            </w:r>
          </w:p>
          <w:p>
            <w:pPr>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Opening and Sharing</w:t>
            </w:r>
            <w:r>
              <w:rPr>
                <w:rFonts w:ascii="仿宋" w:hAnsi="仿宋" w:eastAsia="仿宋" w:cs="仿宋"/>
                <w:color w:val="auto"/>
                <w:kern w:val="0"/>
                <w:sz w:val="24"/>
                <w:lang w:bidi="ar"/>
              </w:rPr>
              <w:t xml:space="preserve"> Mind</w:t>
            </w:r>
          </w:p>
        </w:tc>
      </w:tr>
      <w:tr>
        <w:trPr>
          <w:trHeight w:val="1232"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auto" w:sz="4"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接纳新事物，与时俱进</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Accepting</w:t>
            </w:r>
            <w:r>
              <w:rPr>
                <w:rFonts w:ascii="仿宋" w:hAnsi="仿宋" w:eastAsia="仿宋" w:cs="仿宋"/>
                <w:color w:val="auto"/>
                <w:kern w:val="0"/>
                <w:sz w:val="24"/>
                <w:lang w:bidi="ar"/>
              </w:rPr>
              <w:t xml:space="preserve"> </w:t>
            </w:r>
            <w:r>
              <w:rPr>
                <w:rFonts w:hint="eastAsia" w:ascii="仿宋" w:hAnsi="仿宋" w:eastAsia="仿宋" w:cs="仿宋"/>
                <w:color w:val="auto"/>
                <w:kern w:val="0"/>
                <w:sz w:val="24"/>
                <w:lang w:bidi="ar"/>
              </w:rPr>
              <w:t>Newly-emerged Things and Advanc</w:t>
            </w:r>
            <w:r>
              <w:rPr>
                <w:rFonts w:ascii="仿宋" w:hAnsi="仿宋" w:eastAsia="仿宋" w:cs="仿宋"/>
                <w:color w:val="auto"/>
                <w:kern w:val="0"/>
                <w:sz w:val="24"/>
                <w:lang w:bidi="ar"/>
              </w:rPr>
              <w:t>ing</w:t>
            </w:r>
            <w:r>
              <w:rPr>
                <w:rFonts w:hint="eastAsia" w:ascii="仿宋" w:hAnsi="仿宋" w:eastAsia="仿宋" w:cs="仿宋"/>
                <w:color w:val="auto"/>
                <w:kern w:val="0"/>
                <w:sz w:val="24"/>
                <w:lang w:bidi="ar"/>
              </w:rPr>
              <w:t xml:space="preserve"> with the Time</w:t>
            </w:r>
          </w:p>
        </w:tc>
      </w:tr>
      <w:tr>
        <w:trPr>
          <w:trHeight w:val="966"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auto" w:sz="4"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国际交流与交换</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International Communication and Exchange</w:t>
            </w:r>
          </w:p>
        </w:tc>
      </w:tr>
      <w:tr>
        <w:trPr>
          <w:trHeight w:val="634"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auto" w:sz="4"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尊重人权</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Respect for Human Rights</w:t>
            </w:r>
          </w:p>
        </w:tc>
      </w:tr>
      <w:tr>
        <w:trPr>
          <w:trHeight w:val="952"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auto" w:sz="4"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现代技术应用</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Application of New Technology</w:t>
            </w:r>
          </w:p>
        </w:tc>
      </w:tr>
      <w:tr>
        <w:trPr>
          <w:trHeight w:val="946"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auto" w:sz="4" w:space="0"/>
              <w:left w:val="single" w:color="auto" w:sz="8" w:space="0"/>
              <w:bottom w:val="single" w:color="000000"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信息技术与数据处理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Information Technology and Data Processing</w:t>
            </w:r>
          </w:p>
        </w:tc>
      </w:tr>
      <w:tr>
        <w:trPr>
          <w:trHeight w:val="966"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restart"/>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科学精神与人文素养</w:t>
            </w:r>
          </w:p>
          <w:p>
            <w:pPr>
              <w:widowControl/>
              <w:jc w:val="center"/>
              <w:textAlignment w:val="center"/>
              <w:rPr>
                <w:rFonts w:hint="eastAsia" w:ascii="等线" w:hAnsi="等线" w:eastAsia="等线" w:cs="等线"/>
                <w:color w:val="auto"/>
                <w:sz w:val="22"/>
                <w:szCs w:val="22"/>
              </w:rPr>
            </w:pPr>
            <w:r>
              <w:rPr>
                <w:rFonts w:hint="eastAsia" w:ascii="仿宋" w:hAnsi="仿宋" w:eastAsia="仿宋" w:cs="仿宋"/>
                <w:color w:val="auto"/>
                <w:kern w:val="0"/>
                <w:sz w:val="24"/>
                <w:lang w:bidi="ar"/>
              </w:rPr>
              <w:t>Scientific Spirit and Humanistic Qualities</w:t>
            </w: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学术诚信与科研道德</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Academic Integrity and Research Ethics</w:t>
            </w:r>
          </w:p>
        </w:tc>
      </w:tr>
      <w:tr>
        <w:trPr>
          <w:trHeight w:val="946"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科学研究与钻研精神</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Scientific Research</w:t>
            </w:r>
            <w:r>
              <w:rPr>
                <w:rFonts w:ascii="仿宋" w:hAnsi="仿宋" w:eastAsia="仿宋" w:cs="仿宋"/>
                <w:color w:val="auto"/>
                <w:kern w:val="0"/>
                <w:sz w:val="24"/>
                <w:lang w:bidi="ar"/>
              </w:rPr>
              <w:t xml:space="preserve"> Spirits</w:t>
            </w:r>
          </w:p>
        </w:tc>
      </w:tr>
      <w:tr>
        <w:trPr>
          <w:trHeight w:val="634"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探索求知</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Knowledge Exploration</w:t>
            </w:r>
          </w:p>
        </w:tc>
      </w:tr>
      <w:tr>
        <w:trPr>
          <w:trHeight w:val="634"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追求真理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Pursuit of Truth</w:t>
            </w:r>
          </w:p>
        </w:tc>
      </w:tr>
      <w:tr>
        <w:trPr>
          <w:trHeight w:val="952"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培养兴趣爱好</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Foster</w:t>
            </w:r>
            <w:r>
              <w:rPr>
                <w:rFonts w:ascii="仿宋" w:hAnsi="仿宋" w:eastAsia="仿宋" w:cs="仿宋"/>
                <w:color w:val="auto"/>
                <w:kern w:val="0"/>
                <w:sz w:val="24"/>
                <w:lang w:bidi="ar"/>
              </w:rPr>
              <w:t>ing</w:t>
            </w:r>
            <w:r>
              <w:rPr>
                <w:rFonts w:hint="eastAsia" w:ascii="仿宋" w:hAnsi="仿宋" w:eastAsia="仿宋" w:cs="仿宋"/>
                <w:color w:val="auto"/>
                <w:kern w:val="0"/>
                <w:sz w:val="24"/>
                <w:lang w:bidi="ar"/>
              </w:rPr>
              <w:t xml:space="preserve"> Interest</w:t>
            </w:r>
            <w:r>
              <w:rPr>
                <w:rFonts w:ascii="仿宋" w:hAnsi="仿宋" w:eastAsia="仿宋" w:cs="仿宋"/>
                <w:color w:val="auto"/>
                <w:kern w:val="0"/>
                <w:sz w:val="24"/>
                <w:lang w:bidi="ar"/>
              </w:rPr>
              <w:t>s</w:t>
            </w:r>
            <w:r>
              <w:rPr>
                <w:rFonts w:hint="eastAsia" w:ascii="仿宋" w:hAnsi="仿宋" w:eastAsia="仿宋" w:cs="仿宋"/>
                <w:color w:val="auto"/>
                <w:kern w:val="0"/>
                <w:sz w:val="24"/>
                <w:lang w:bidi="ar"/>
              </w:rPr>
              <w:t xml:space="preserve"> and Hobbies</w:t>
            </w:r>
          </w:p>
        </w:tc>
      </w:tr>
      <w:tr>
        <w:trPr>
          <w:trHeight w:val="634"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000000" w:sz="8" w:space="0"/>
              <w:left w:val="single" w:color="auto" w:sz="8" w:space="0"/>
              <w:bottom w:val="single" w:color="000000"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理论联系实际</w:t>
            </w:r>
          </w:p>
          <w:p>
            <w:pPr>
              <w:jc w:val="center"/>
              <w:textAlignment w:val="center"/>
              <w:rPr>
                <w:rFonts w:hint="eastAsia" w:ascii="仿宋" w:hAnsi="仿宋" w:eastAsia="仿宋" w:cs="仿宋"/>
                <w:color w:val="auto"/>
                <w:sz w:val="24"/>
              </w:rPr>
            </w:pPr>
            <w:r>
              <w:rPr>
                <w:rFonts w:ascii="仿宋" w:hAnsi="仿宋" w:eastAsia="仿宋" w:cs="仿宋"/>
                <w:color w:val="auto"/>
                <w:kern w:val="0"/>
                <w:sz w:val="24"/>
                <w:lang w:bidi="ar"/>
              </w:rPr>
              <w:t>Integrat</w:t>
            </w:r>
            <w:r>
              <w:rPr>
                <w:rFonts w:hint="eastAsia" w:ascii="仿宋" w:hAnsi="仿宋" w:eastAsia="仿宋" w:cs="仿宋"/>
                <w:color w:val="auto"/>
                <w:kern w:val="0"/>
                <w:sz w:val="24"/>
                <w:lang w:bidi="ar"/>
              </w:rPr>
              <w:t xml:space="preserve">ing Theory </w:t>
            </w:r>
            <w:r>
              <w:rPr>
                <w:rFonts w:ascii="仿宋" w:hAnsi="仿宋" w:eastAsia="仿宋" w:cs="仿宋"/>
                <w:color w:val="auto"/>
                <w:kern w:val="0"/>
                <w:sz w:val="24"/>
                <w:lang w:bidi="ar"/>
              </w:rPr>
              <w:t>with</w:t>
            </w:r>
            <w:r>
              <w:rPr>
                <w:rFonts w:hint="eastAsia" w:ascii="仿宋" w:hAnsi="仿宋" w:eastAsia="仿宋" w:cs="仿宋"/>
                <w:color w:val="auto"/>
                <w:kern w:val="0"/>
                <w:sz w:val="24"/>
                <w:lang w:bidi="ar"/>
              </w:rPr>
              <w:t xml:space="preserve"> Practice</w:t>
            </w:r>
          </w:p>
        </w:tc>
      </w:tr>
      <w:tr>
        <w:trPr>
          <w:trHeight w:val="966" w:hRule="atLeast"/>
        </w:trPr>
        <w:tc>
          <w:tcPr>
            <w:tcW w:w="733" w:type="pct"/>
            <w:vMerge w:val="continue"/>
            <w:tcBorders>
              <w:left w:val="single" w:color="000000" w:sz="8" w:space="0"/>
              <w:bottom w:val="single" w:color="auto" w:sz="8" w:space="0"/>
              <w:right w:val="single" w:color="auto"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1402" w:type="pct"/>
            <w:vMerge w:val="continue"/>
            <w:tcBorders>
              <w:top w:val="single" w:color="000000"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艺术鉴赏与审美</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Ability </w:t>
            </w:r>
            <w:r>
              <w:rPr>
                <w:rFonts w:ascii="仿宋" w:hAnsi="仿宋" w:eastAsia="仿宋" w:cs="仿宋"/>
                <w:color w:val="auto"/>
                <w:kern w:val="0"/>
                <w:sz w:val="24"/>
                <w:lang w:bidi="ar"/>
              </w:rPr>
              <w:t>in</w:t>
            </w:r>
            <w:r>
              <w:rPr>
                <w:rFonts w:hint="eastAsia" w:ascii="仿宋" w:hAnsi="仿宋" w:eastAsia="仿宋" w:cs="仿宋"/>
                <w:color w:val="auto"/>
                <w:kern w:val="0"/>
                <w:sz w:val="24"/>
                <w:lang w:bidi="ar"/>
              </w:rPr>
              <w:t xml:space="preserve"> Appreciation </w:t>
            </w:r>
            <w:r>
              <w:rPr>
                <w:rFonts w:ascii="仿宋" w:hAnsi="仿宋" w:eastAsia="仿宋" w:cs="仿宋"/>
                <w:color w:val="auto"/>
                <w:kern w:val="0"/>
                <w:sz w:val="24"/>
                <w:lang w:bidi="ar"/>
              </w:rPr>
              <w:t xml:space="preserve">of Art </w:t>
            </w:r>
            <w:r>
              <w:rPr>
                <w:rFonts w:hint="eastAsia" w:ascii="仿宋" w:hAnsi="仿宋" w:eastAsia="仿宋" w:cs="仿宋"/>
                <w:color w:val="auto"/>
                <w:kern w:val="0"/>
                <w:sz w:val="24"/>
                <w:lang w:bidi="ar"/>
              </w:rPr>
              <w:t>an</w:t>
            </w:r>
            <w:r>
              <w:rPr>
                <w:rFonts w:ascii="仿宋" w:hAnsi="仿宋" w:eastAsia="仿宋" w:cs="仿宋"/>
                <w:color w:val="auto"/>
                <w:kern w:val="0"/>
                <w:sz w:val="24"/>
                <w:lang w:bidi="ar"/>
              </w:rPr>
              <w:t>d Beauty</w:t>
            </w:r>
          </w:p>
        </w:tc>
      </w:tr>
    </w:tbl>
    <w:p>
      <w:pPr>
        <w:rPr>
          <w:rFonts w:hint="eastAsia"/>
          <w:color w:val="auto"/>
        </w:rPr>
      </w:pPr>
    </w:p>
    <w:p>
      <w:pPr>
        <w:rPr>
          <w:rFonts w:hint="eastAsia"/>
          <w:color w:val="auto"/>
        </w:rPr>
      </w:pPr>
    </w:p>
    <w:p>
      <w:pPr>
        <w:rPr>
          <w:rFonts w:hint="eastAsia"/>
          <w:color w:val="auto"/>
        </w:rPr>
      </w:pPr>
    </w:p>
    <w:tbl>
      <w:tblPr>
        <w:tblStyle w:val="3"/>
        <w:tblW w:w="4998" w:type="pct"/>
        <w:tblInd w:w="0" w:type="dxa"/>
        <w:tblLayout w:type="autofit"/>
        <w:tblCellMar>
          <w:top w:w="0" w:type="dxa"/>
          <w:left w:w="0" w:type="dxa"/>
          <w:bottom w:w="0" w:type="dxa"/>
          <w:right w:w="0" w:type="dxa"/>
        </w:tblCellMar>
      </w:tblPr>
      <w:tblGrid>
        <w:gridCol w:w="1220"/>
        <w:gridCol w:w="2334"/>
        <w:gridCol w:w="4769"/>
      </w:tblGrid>
      <w:tr>
        <w:trPr>
          <w:trHeight w:val="300" w:hRule="atLeast"/>
        </w:trPr>
        <w:tc>
          <w:tcPr>
            <w:tcW w:w="733"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等线" w:hAnsi="等线" w:eastAsia="等线" w:cs="等线"/>
                <w:color w:val="auto"/>
                <w:kern w:val="0"/>
                <w:sz w:val="22"/>
                <w:szCs w:val="22"/>
                <w:lang w:bidi="ar"/>
              </w:rPr>
            </w:pPr>
            <w:r>
              <w:rPr>
                <w:rFonts w:hint="eastAsia" w:ascii="仿宋" w:hAnsi="仿宋" w:eastAsia="仿宋" w:cs="仿宋"/>
                <w:b/>
                <w:bCs/>
                <w:color w:val="auto"/>
                <w:kern w:val="0"/>
                <w:sz w:val="24"/>
                <w:lang w:bidi="ar"/>
              </w:rPr>
              <w:t>一级指标</w:t>
            </w:r>
          </w:p>
        </w:tc>
        <w:tc>
          <w:tcPr>
            <w:tcW w:w="1402"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等线" w:hAnsi="等线" w:eastAsia="等线" w:cs="等线"/>
                <w:color w:val="auto"/>
                <w:kern w:val="0"/>
                <w:sz w:val="22"/>
                <w:szCs w:val="22"/>
                <w:lang w:bidi="ar"/>
              </w:rPr>
            </w:pPr>
            <w:r>
              <w:rPr>
                <w:rFonts w:hint="eastAsia" w:ascii="仿宋" w:hAnsi="仿宋" w:eastAsia="仿宋" w:cs="仿宋"/>
                <w:b/>
                <w:bCs/>
                <w:color w:val="auto"/>
                <w:kern w:val="0"/>
                <w:sz w:val="24"/>
                <w:lang w:bidi="ar"/>
              </w:rPr>
              <w:t>二级指标</w:t>
            </w:r>
          </w:p>
        </w:tc>
        <w:tc>
          <w:tcPr>
            <w:tcW w:w="2865" w:type="pct"/>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b/>
                <w:bCs/>
                <w:color w:val="auto"/>
                <w:kern w:val="0"/>
                <w:sz w:val="24"/>
                <w:lang w:bidi="ar"/>
              </w:rPr>
              <w:t>三级指标</w:t>
            </w:r>
          </w:p>
        </w:tc>
      </w:tr>
      <w:tr>
        <w:trPr>
          <w:trHeight w:val="634" w:hRule="atLeast"/>
        </w:trPr>
        <w:tc>
          <w:tcPr>
            <w:tcW w:w="733" w:type="pct"/>
            <w:vMerge w:val="restart"/>
            <w:tcBorders>
              <w:top w:val="single" w:color="auto" w:sz="8" w:space="0"/>
              <w:left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“能”</w:t>
            </w:r>
          </w:p>
          <w:p>
            <w:pPr>
              <w:widowControl/>
              <w:jc w:val="center"/>
              <w:textAlignment w:val="center"/>
              <w:rPr>
                <w:rFonts w:hint="eastAsia" w:ascii="等线" w:hAnsi="等线" w:eastAsia="等线" w:cs="等线"/>
                <w:color w:val="auto"/>
                <w:sz w:val="22"/>
                <w:szCs w:val="22"/>
              </w:rPr>
            </w:pPr>
            <w:r>
              <w:rPr>
                <w:rFonts w:hint="eastAsia" w:ascii="仿宋" w:hAnsi="仿宋" w:eastAsia="仿宋" w:cs="仿宋"/>
                <w:color w:val="auto"/>
                <w:kern w:val="0"/>
                <w:sz w:val="24"/>
                <w:lang w:bidi="ar"/>
              </w:rPr>
              <w:t>All-round Capability</w:t>
            </w:r>
          </w:p>
        </w:tc>
        <w:tc>
          <w:tcPr>
            <w:tcW w:w="1402" w:type="pct"/>
            <w:vMerge w:val="restar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科学精神与人文素养</w:t>
            </w:r>
          </w:p>
          <w:p>
            <w:pPr>
              <w:widowControl/>
              <w:jc w:val="center"/>
              <w:textAlignment w:val="center"/>
              <w:rPr>
                <w:rFonts w:hint="eastAsia" w:ascii="等线" w:hAnsi="等线" w:eastAsia="等线" w:cs="等线"/>
                <w:color w:val="auto"/>
                <w:sz w:val="22"/>
                <w:szCs w:val="22"/>
              </w:rPr>
            </w:pPr>
            <w:r>
              <w:rPr>
                <w:rFonts w:hint="eastAsia" w:ascii="仿宋" w:hAnsi="仿宋" w:eastAsia="仿宋" w:cs="仿宋"/>
                <w:color w:val="auto"/>
                <w:kern w:val="0"/>
                <w:sz w:val="24"/>
                <w:lang w:bidi="ar"/>
              </w:rPr>
              <w:t>Scientific Spirit and Humanistic Qualities</w:t>
            </w: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动手实操</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Hands-on Activities</w:t>
            </w:r>
          </w:p>
        </w:tc>
      </w:tr>
      <w:tr>
        <w:trPr>
          <w:trHeight w:val="952"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专业知识与技能</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Professional Knowledge and Skills</w:t>
            </w:r>
          </w:p>
        </w:tc>
      </w:tr>
      <w:tr>
        <w:trPr>
          <w:trHeight w:val="1258"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传承和弘扬中华优秀传统文化</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Inheriting and Promoting the Splendid</w:t>
            </w:r>
            <w:r>
              <w:rPr>
                <w:rFonts w:ascii="仿宋" w:hAnsi="仿宋" w:eastAsia="仿宋" w:cs="仿宋"/>
                <w:color w:val="auto"/>
                <w:kern w:val="0"/>
                <w:sz w:val="24"/>
                <w:lang w:bidi="ar"/>
              </w:rPr>
              <w:t xml:space="preserve"> </w:t>
            </w:r>
            <w:r>
              <w:rPr>
                <w:rFonts w:hint="eastAsia" w:ascii="仿宋" w:hAnsi="仿宋" w:eastAsia="仿宋" w:cs="仿宋"/>
                <w:color w:val="auto"/>
                <w:kern w:val="0"/>
                <w:sz w:val="24"/>
                <w:lang w:bidi="ar"/>
              </w:rPr>
              <w:t>Traditional</w:t>
            </w:r>
            <w:r>
              <w:rPr>
                <w:rFonts w:ascii="仿宋" w:hAnsi="仿宋" w:eastAsia="仿宋" w:cs="仿宋"/>
                <w:color w:val="auto"/>
                <w:kern w:val="0"/>
                <w:sz w:val="24"/>
                <w:lang w:bidi="ar"/>
              </w:rPr>
              <w:t xml:space="preserve"> </w:t>
            </w:r>
            <w:r>
              <w:rPr>
                <w:rFonts w:hint="eastAsia" w:ascii="仿宋" w:hAnsi="仿宋" w:eastAsia="仿宋" w:cs="仿宋"/>
                <w:color w:val="auto"/>
                <w:kern w:val="0"/>
                <w:sz w:val="24"/>
                <w:lang w:bidi="ar"/>
              </w:rPr>
              <w:t>Chinese   Culture</w:t>
            </w:r>
          </w:p>
        </w:tc>
      </w:tr>
      <w:tr>
        <w:trPr>
          <w:trHeight w:val="946"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学科交叉思维</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Interdisciplinary Thinking</w:t>
            </w:r>
          </w:p>
        </w:tc>
      </w:tr>
      <w:tr>
        <w:trPr>
          <w:trHeight w:val="65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独立思考</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Independent Thinking</w:t>
            </w:r>
          </w:p>
        </w:tc>
      </w:tr>
      <w:tr>
        <w:trPr>
          <w:trHeight w:val="634"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left"/>
              <w:textAlignment w:val="center"/>
              <w:rPr>
                <w:rFonts w:hint="eastAsia" w:ascii="等线" w:hAnsi="等线" w:eastAsia="等线" w:cs="等线"/>
                <w:color w:val="auto"/>
                <w:sz w:val="22"/>
                <w:szCs w:val="22"/>
              </w:rPr>
            </w:pPr>
          </w:p>
        </w:tc>
        <w:tc>
          <w:tcPr>
            <w:tcW w:w="2865"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自主学习</w:t>
            </w:r>
          </w:p>
          <w:p>
            <w:pPr>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Autonomous Learning</w:t>
            </w:r>
          </w:p>
        </w:tc>
      </w:tr>
      <w:tr>
        <w:trPr>
          <w:trHeight w:val="1240"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restart"/>
            <w:tcBorders>
              <w:top w:val="single" w:color="auto" w:sz="8" w:space="0"/>
              <w:left w:val="nil"/>
              <w:bottom w:val="nil"/>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身心健康与自我管理</w:t>
            </w:r>
          </w:p>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Physical and Mental Health and Self-management</w:t>
            </w:r>
          </w:p>
        </w:tc>
        <w:tc>
          <w:tcPr>
            <w:tcW w:w="2865" w:type="pct"/>
            <w:tcBorders>
              <w:top w:val="single" w:color="auto"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安全意识和自我保护意识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Safety Awareness and Self-protection Awareness</w:t>
            </w:r>
          </w:p>
        </w:tc>
      </w:tr>
      <w:tr>
        <w:trPr>
          <w:trHeight w:val="620"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自控自律</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Self-discipline</w:t>
            </w:r>
          </w:p>
        </w:tc>
      </w:tr>
      <w:tr>
        <w:trPr>
          <w:trHeight w:val="620"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自我认知</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Self-awareness</w:t>
            </w:r>
          </w:p>
        </w:tc>
      </w:tr>
      <w:tr>
        <w:trPr>
          <w:trHeight w:val="623"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nil"/>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同情心</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Sympathy</w:t>
            </w:r>
          </w:p>
        </w:tc>
      </w:tr>
      <w:tr>
        <w:trPr>
          <w:trHeight w:val="640" w:hRule="atLeast"/>
        </w:trPr>
        <w:tc>
          <w:tcPr>
            <w:tcW w:w="733" w:type="pct"/>
            <w:vMerge w:val="continue"/>
            <w:tcBorders>
              <w:left w:val="single" w:color="000000"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000000" w:sz="8" w:space="0"/>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自我驱动</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Being self-driven</w:t>
            </w:r>
          </w:p>
        </w:tc>
      </w:tr>
      <w:tr>
        <w:trPr>
          <w:trHeight w:val="620" w:hRule="atLeast"/>
        </w:trPr>
        <w:tc>
          <w:tcPr>
            <w:tcW w:w="733" w:type="pct"/>
            <w:vMerge w:val="continue"/>
            <w:tcBorders>
              <w:left w:val="single" w:color="000000" w:sz="8" w:space="0"/>
              <w:right w:val="single" w:color="000000"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抗逆抗挫</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Resistance to Frustration</w:t>
            </w:r>
          </w:p>
        </w:tc>
      </w:tr>
      <w:tr>
        <w:trPr>
          <w:trHeight w:val="620" w:hRule="atLeast"/>
        </w:trPr>
        <w:tc>
          <w:tcPr>
            <w:tcW w:w="733" w:type="pct"/>
            <w:vMerge w:val="continue"/>
            <w:tcBorders>
              <w:left w:val="single" w:color="000000" w:sz="8" w:space="0"/>
              <w:right w:val="single" w:color="000000"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抓住机遇</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Seizing Opportunity</w:t>
            </w:r>
          </w:p>
        </w:tc>
      </w:tr>
      <w:tr>
        <w:trPr>
          <w:trHeight w:val="620" w:hRule="atLeast"/>
        </w:trPr>
        <w:tc>
          <w:tcPr>
            <w:tcW w:w="733" w:type="pct"/>
            <w:vMerge w:val="continue"/>
            <w:tcBorders>
              <w:left w:val="single" w:color="000000" w:sz="8" w:space="0"/>
              <w:right w:val="single" w:color="000000"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职业意识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Professional Awareness</w:t>
            </w:r>
          </w:p>
        </w:tc>
      </w:tr>
      <w:tr>
        <w:trPr>
          <w:trHeight w:val="620" w:hRule="atLeast"/>
        </w:trPr>
        <w:tc>
          <w:tcPr>
            <w:tcW w:w="733" w:type="pct"/>
            <w:vMerge w:val="continue"/>
            <w:tcBorders>
              <w:left w:val="single" w:color="000000" w:sz="8" w:space="0"/>
              <w:right w:val="single" w:color="000000"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生涯规划</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Career Planning</w:t>
            </w:r>
          </w:p>
        </w:tc>
      </w:tr>
      <w:tr>
        <w:trPr>
          <w:trHeight w:val="620" w:hRule="atLeast"/>
        </w:trPr>
        <w:tc>
          <w:tcPr>
            <w:tcW w:w="733" w:type="pct"/>
            <w:vMerge w:val="continue"/>
            <w:tcBorders>
              <w:left w:val="single" w:color="000000" w:sz="8" w:space="0"/>
              <w:right w:val="single" w:color="000000"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nil"/>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000000"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财务管理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Financial Management</w:t>
            </w:r>
          </w:p>
        </w:tc>
      </w:tr>
      <w:tr>
        <w:trPr>
          <w:trHeight w:val="632" w:hRule="atLeast"/>
        </w:trPr>
        <w:tc>
          <w:tcPr>
            <w:tcW w:w="733" w:type="pct"/>
            <w:vMerge w:val="continue"/>
            <w:tcBorders>
              <w:left w:val="single" w:color="000000" w:sz="8" w:space="0"/>
              <w:bottom w:val="single" w:color="auto" w:sz="8" w:space="0"/>
              <w:right w:val="single" w:color="000000"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402" w:type="pct"/>
            <w:vMerge w:val="continue"/>
            <w:tcBorders>
              <w:left w:val="nil"/>
              <w:bottom w:val="single" w:color="auto" w:sz="8" w:space="0"/>
              <w:right w:val="single" w:color="000000"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nil"/>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个人卫生</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Personal Hygiene</w:t>
            </w:r>
          </w:p>
        </w:tc>
      </w:tr>
    </w:tbl>
    <w:p>
      <w:pPr>
        <w:rPr>
          <w:color w:val="auto"/>
        </w:rPr>
      </w:pPr>
    </w:p>
    <w:tbl>
      <w:tblPr>
        <w:tblStyle w:val="3"/>
        <w:tblW w:w="4998" w:type="pct"/>
        <w:tblInd w:w="0" w:type="dxa"/>
        <w:tblLayout w:type="autofit"/>
        <w:tblCellMar>
          <w:top w:w="0" w:type="dxa"/>
          <w:left w:w="0" w:type="dxa"/>
          <w:bottom w:w="0" w:type="dxa"/>
          <w:right w:w="0" w:type="dxa"/>
        </w:tblCellMar>
      </w:tblPr>
      <w:tblGrid>
        <w:gridCol w:w="1117"/>
        <w:gridCol w:w="2636"/>
        <w:gridCol w:w="4570"/>
      </w:tblGrid>
      <w:tr>
        <w:trPr>
          <w:trHeight w:val="300" w:hRule="atLeast"/>
        </w:trPr>
        <w:tc>
          <w:tcPr>
            <w:tcW w:w="432"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等线" w:hAnsi="等线" w:eastAsia="等线" w:cs="等线"/>
                <w:color w:val="auto"/>
                <w:kern w:val="0"/>
                <w:sz w:val="22"/>
                <w:szCs w:val="22"/>
                <w:lang w:bidi="ar"/>
              </w:rPr>
            </w:pPr>
            <w:r>
              <w:rPr>
                <w:rFonts w:hint="eastAsia" w:ascii="仿宋" w:hAnsi="仿宋" w:eastAsia="仿宋" w:cs="仿宋"/>
                <w:b/>
                <w:bCs/>
                <w:color w:val="auto"/>
                <w:kern w:val="0"/>
                <w:sz w:val="24"/>
                <w:lang w:bidi="ar"/>
              </w:rPr>
              <w:t>一级指标</w:t>
            </w:r>
          </w:p>
        </w:tc>
        <w:tc>
          <w:tcPr>
            <w:tcW w:w="1703" w:type="pct"/>
            <w:tcBorders>
              <w:top w:val="single" w:color="auto" w:sz="8" w:space="0"/>
              <w:left w:val="nil"/>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hint="eastAsia" w:ascii="等线" w:hAnsi="等线" w:eastAsia="等线" w:cs="等线"/>
                <w:color w:val="auto"/>
                <w:kern w:val="0"/>
                <w:sz w:val="22"/>
                <w:szCs w:val="22"/>
                <w:lang w:bidi="ar"/>
              </w:rPr>
            </w:pPr>
            <w:r>
              <w:rPr>
                <w:rFonts w:hint="eastAsia" w:ascii="仿宋" w:hAnsi="仿宋" w:eastAsia="仿宋" w:cs="仿宋"/>
                <w:b/>
                <w:bCs/>
                <w:color w:val="auto"/>
                <w:kern w:val="0"/>
                <w:sz w:val="24"/>
                <w:lang w:bidi="ar"/>
              </w:rPr>
              <w:t>二级指标</w:t>
            </w:r>
          </w:p>
        </w:tc>
        <w:tc>
          <w:tcPr>
            <w:tcW w:w="2865" w:type="pct"/>
            <w:tcBorders>
              <w:top w:val="single" w:color="auto" w:sz="8" w:space="0"/>
              <w:left w:val="nil"/>
              <w:bottom w:val="single" w:color="auto" w:sz="8" w:space="0"/>
              <w:right w:val="single" w:color="auto" w:sz="8"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b/>
                <w:bCs/>
                <w:color w:val="auto"/>
                <w:kern w:val="0"/>
                <w:sz w:val="24"/>
                <w:lang w:bidi="ar"/>
              </w:rPr>
              <w:t>三级指标</w:t>
            </w:r>
          </w:p>
        </w:tc>
      </w:tr>
      <w:tr>
        <w:trPr>
          <w:trHeight w:val="946" w:hRule="atLeast"/>
        </w:trPr>
        <w:tc>
          <w:tcPr>
            <w:tcW w:w="432" w:type="pct"/>
            <w:vMerge w:val="restart"/>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“能”</w:t>
            </w:r>
          </w:p>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All-round</w:t>
            </w:r>
          </w:p>
          <w:p>
            <w:pPr>
              <w:widowControl/>
              <w:jc w:val="center"/>
              <w:textAlignment w:val="center"/>
              <w:rPr>
                <w:rFonts w:hint="eastAsia" w:ascii="等线" w:hAnsi="等线" w:eastAsia="等线" w:cs="等线"/>
                <w:b/>
                <w:color w:val="auto"/>
                <w:sz w:val="22"/>
                <w:szCs w:val="22"/>
              </w:rPr>
            </w:pPr>
            <w:r>
              <w:rPr>
                <w:rFonts w:hint="eastAsia" w:ascii="仿宋" w:hAnsi="仿宋" w:eastAsia="仿宋" w:cs="仿宋"/>
                <w:color w:val="auto"/>
                <w:kern w:val="0"/>
                <w:sz w:val="24"/>
                <w:lang w:bidi="ar"/>
              </w:rPr>
              <w:t>Capability</w:t>
            </w:r>
          </w:p>
        </w:tc>
        <w:tc>
          <w:tcPr>
            <w:tcW w:w="1703" w:type="pct"/>
            <w:vMerge w:val="restart"/>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身心健康与自我管理</w:t>
            </w:r>
          </w:p>
          <w:p>
            <w:pPr>
              <w:widowControl/>
              <w:jc w:val="center"/>
              <w:textAlignment w:val="center"/>
              <w:rPr>
                <w:rFonts w:hint="eastAsia" w:ascii="等线" w:hAnsi="等线" w:eastAsia="等线" w:cs="等线"/>
                <w:color w:val="auto"/>
                <w:sz w:val="22"/>
                <w:szCs w:val="22"/>
              </w:rPr>
            </w:pPr>
            <w:r>
              <w:rPr>
                <w:rFonts w:hint="eastAsia" w:ascii="仿宋" w:hAnsi="仿宋" w:eastAsia="仿宋" w:cs="仿宋"/>
                <w:color w:val="auto"/>
                <w:kern w:val="0"/>
                <w:sz w:val="24"/>
                <w:lang w:bidi="ar"/>
              </w:rPr>
              <w:t>Physical and Mental Health and Self-management</w:t>
            </w: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其他生活技能</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Other</w:t>
            </w:r>
            <w:r>
              <w:rPr>
                <w:rFonts w:ascii="仿宋" w:hAnsi="仿宋" w:eastAsia="仿宋" w:cs="仿宋"/>
                <w:color w:val="auto"/>
                <w:kern w:val="0"/>
                <w:sz w:val="24"/>
                <w:lang w:bidi="ar"/>
              </w:rPr>
              <w:t xml:space="preserve"> </w:t>
            </w:r>
            <w:r>
              <w:rPr>
                <w:rFonts w:hint="eastAsia" w:ascii="仿宋" w:hAnsi="仿宋" w:eastAsia="仿宋" w:cs="仿宋"/>
                <w:color w:val="auto"/>
                <w:kern w:val="0"/>
                <w:sz w:val="24"/>
                <w:lang w:bidi="ar"/>
              </w:rPr>
              <w:t>Life Skills</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情绪管理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Emotional </w:t>
            </w:r>
            <w:r>
              <w:rPr>
                <w:rFonts w:ascii="仿宋" w:hAnsi="仿宋" w:eastAsia="仿宋" w:cs="仿宋"/>
                <w:color w:val="auto"/>
                <w:kern w:val="0"/>
                <w:sz w:val="24"/>
                <w:lang w:bidi="ar"/>
              </w:rPr>
              <w:t>M</w:t>
            </w:r>
            <w:r>
              <w:rPr>
                <w:rFonts w:hint="eastAsia" w:ascii="仿宋" w:hAnsi="仿宋" w:eastAsia="仿宋" w:cs="仿宋"/>
                <w:color w:val="auto"/>
                <w:kern w:val="0"/>
                <w:sz w:val="24"/>
                <w:lang w:bidi="ar"/>
              </w:rPr>
              <w:t>anagement</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形象管理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Image Management</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时间管理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Time Management</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人格独立</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Independent Personality</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亲密关系管理</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Intimacy Management</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求助能力</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Ability of Asking for Help</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环境适应</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Environmental Adaptation</w:t>
            </w:r>
          </w:p>
        </w:tc>
      </w:tr>
      <w:tr>
        <w:trPr>
          <w:trHeight w:val="634"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自我效能</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Self-efficacy</w:t>
            </w:r>
          </w:p>
        </w:tc>
      </w:tr>
      <w:tr>
        <w:trPr>
          <w:trHeight w:val="946" w:hRule="atLeast"/>
        </w:trPr>
        <w:tc>
          <w:tcPr>
            <w:tcW w:w="432" w:type="pct"/>
            <w:vMerge w:val="continue"/>
            <w:tcBorders>
              <w:top w:val="single" w:color="auto" w:sz="8" w:space="0"/>
              <w:left w:val="single" w:color="000000" w:sz="8" w:space="0"/>
              <w:bottom w:val="single" w:color="auto" w:sz="8" w:space="0"/>
              <w:right w:val="single" w:color="auto" w:sz="8" w:space="0"/>
            </w:tcBorders>
            <w:noWrap/>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1703" w:type="pct"/>
            <w:vMerge w:val="continue"/>
            <w:tcBorders>
              <w:top w:val="single" w:color="auto" w:sz="8" w:space="0"/>
              <w:left w:val="single" w:color="auto" w:sz="8" w:space="0"/>
              <w:bottom w:val="single" w:color="auto" w:sz="8" w:space="0"/>
              <w:right w:val="single" w:color="auto" w:sz="8" w:space="0"/>
            </w:tcBorders>
            <w:noWrap w:val="0"/>
            <w:tcMar>
              <w:top w:w="10" w:type="dxa"/>
              <w:left w:w="10" w:type="dxa"/>
              <w:right w:w="10" w:type="dxa"/>
            </w:tcMar>
            <w:vAlign w:val="center"/>
          </w:tcPr>
          <w:p>
            <w:pPr>
              <w:jc w:val="left"/>
              <w:textAlignment w:val="center"/>
              <w:rPr>
                <w:rFonts w:hint="eastAsia" w:ascii="等线" w:hAnsi="等线" w:eastAsia="等线" w:cs="等线"/>
                <w:color w:val="auto"/>
                <w:sz w:val="22"/>
                <w:szCs w:val="22"/>
              </w:rPr>
            </w:pPr>
          </w:p>
        </w:tc>
        <w:tc>
          <w:tcPr>
            <w:tcW w:w="2865" w:type="pct"/>
            <w:tcBorders>
              <w:top w:val="single" w:color="auto" w:sz="8" w:space="0"/>
              <w:left w:val="single" w:color="auto" w:sz="8" w:space="0"/>
              <w:bottom w:val="single" w:color="auto" w:sz="8" w:space="0"/>
              <w:right w:val="single" w:color="000000" w:sz="8" w:space="0"/>
            </w:tcBorders>
            <w:noWrap w:val="0"/>
            <w:tcMar>
              <w:top w:w="10" w:type="dxa"/>
              <w:left w:w="10" w:type="dxa"/>
              <w:right w:w="10"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体育锻炼与体育精神</w:t>
            </w:r>
          </w:p>
          <w:p>
            <w:pPr>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Physical Training and Sportsmanship</w:t>
            </w:r>
          </w:p>
        </w:tc>
      </w:tr>
    </w:tbl>
    <w:p>
      <w:pPr>
        <w:rPr>
          <w:rFonts w:ascii="宋体" w:hAnsi="宋体"/>
          <w:color w:val="auto"/>
          <w:sz w:val="24"/>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0000000000000000000"/>
    <w:charset w:val="00"/>
    <w:family w:val="modern"/>
    <w:pitch w:val="default"/>
    <w:sig w:usb0="00000000" w:usb1="00000000" w:usb2="00000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49"/>
    <w:rsid w:val="000F1814"/>
    <w:rsid w:val="00341666"/>
    <w:rsid w:val="006B36DC"/>
    <w:rsid w:val="007D2449"/>
    <w:rsid w:val="0098306E"/>
    <w:rsid w:val="EA97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 w:type="character" w:customStyle="1" w:styleId="6">
    <w:name w:val="font51"/>
    <w:qFormat/>
    <w:uiPriority w:val="0"/>
    <w:rPr>
      <w:rFonts w:hint="eastAsia" w:ascii="仿宋" w:hAnsi="仿宋" w:eastAsia="仿宋" w:cs="仿宋"/>
      <w:color w:val="000000"/>
      <w:sz w:val="24"/>
      <w:szCs w:val="24"/>
      <w:u w:val="none"/>
    </w:rPr>
  </w:style>
  <w:style w:type="character" w:customStyle="1" w:styleId="7">
    <w:name w:val="font61"/>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Words>
  <Characters>763</Characters>
  <Lines>6</Lines>
  <Paragraphs>1</Paragraphs>
  <TotalTime>1</TotalTime>
  <ScaleCrop>false</ScaleCrop>
  <LinksUpToDate>false</LinksUpToDate>
  <CharactersWithSpaces>895</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2023-01-19T14:29:00Z</dcterms:created>
  <dc:creator>Chen Yifei</dc:creator>
  <cp:lastModifiedBy>吴宵宵</cp:lastModifiedBy>
  <dcterms:modified xsi:type="dcterms:W3CDTF">2023-07-19T10:06:09Z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6257169D3F6D23851145B7646A1DDDC1_42</vt:lpwstr>
  </property>
</Properties>
</file>